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210" w:leftChars="-100" w:right="-420" w:rightChars="-200"/>
        <w:jc w:val="center"/>
        <w:textAlignment w:val="auto"/>
        <w:rPr>
          <w:rFonts w:hint="eastAsia" w:ascii="长城小标宋体" w:hAnsi="长城小标宋体" w:eastAsia="长城小标宋体" w:cs="长城小标宋体"/>
          <w:sz w:val="44"/>
          <w:szCs w:val="44"/>
          <w:lang w:val="en-US" w:eastAsia="zh-CN"/>
        </w:rPr>
      </w:pPr>
      <w:r>
        <w:rPr>
          <w:rFonts w:hint="eastAsia" w:ascii="长城小标宋体" w:hAnsi="长城小标宋体" w:eastAsia="长城小标宋体" w:cs="长城小标宋体"/>
          <w:sz w:val="44"/>
          <w:szCs w:val="44"/>
          <w:lang w:val="en-US" w:eastAsia="zh-CN"/>
        </w:rPr>
        <w:t>宁波东海银行股份有限公司</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420" w:rightChars="-200"/>
        <w:jc w:val="center"/>
        <w:textAlignment w:val="auto"/>
        <w:rPr>
          <w:rFonts w:hint="eastAsia" w:ascii="长城小标宋体" w:hAnsi="长城小标宋体" w:eastAsia="长城小标宋体" w:cs="长城小标宋体"/>
          <w:sz w:val="44"/>
          <w:szCs w:val="44"/>
          <w:lang w:val="en-US" w:eastAsia="zh-CN"/>
        </w:rPr>
      </w:pPr>
      <w:r>
        <w:rPr>
          <w:rFonts w:hint="eastAsia" w:ascii="长城小标宋体" w:hAnsi="长城小标宋体" w:eastAsia="长城小标宋体" w:cs="长城小标宋体"/>
          <w:sz w:val="44"/>
          <w:szCs w:val="44"/>
          <w:lang w:val="en-US" w:eastAsia="zh-CN"/>
        </w:rPr>
        <w:t>2025年第一季度第三支柱信息披露报告</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420" w:right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210" w:leftChars="-100" w:right="-420" w:rightChars="-200"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宁波东海银行股份有限公司（以下简称“本行”）</w:t>
      </w:r>
      <w:r>
        <w:rPr>
          <w:rFonts w:hint="eastAsia" w:ascii="仿宋" w:hAnsi="仿宋" w:eastAsia="仿宋" w:cs="仿宋"/>
          <w:sz w:val="32"/>
          <w:szCs w:val="32"/>
          <w:lang w:val="en-US" w:eastAsia="zh-CN"/>
        </w:rPr>
        <w:t>根据国家金融监管总局《商业银行资本管理办法》（国家金融监管总局令</w:t>
      </w:r>
      <w:r>
        <w:rPr>
          <w:rFonts w:hint="default" w:ascii="仿宋" w:hAnsi="仿宋" w:eastAsia="仿宋" w:cs="仿宋"/>
          <w:sz w:val="32"/>
          <w:szCs w:val="32"/>
          <w:lang w:val="en-US" w:eastAsia="zh-CN"/>
        </w:rPr>
        <w:t>2023</w:t>
      </w:r>
      <w:r>
        <w:rPr>
          <w:rFonts w:hint="eastAsia" w:ascii="仿宋" w:hAnsi="仿宋" w:eastAsia="仿宋" w:cs="仿宋"/>
          <w:sz w:val="32"/>
          <w:szCs w:val="32"/>
          <w:lang w:val="en-US" w:eastAsia="zh-CN"/>
        </w:rPr>
        <w:t>年第</w:t>
      </w: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号）（以下简称“办法”）及相关规定要求，编制《2025年第一季度第三支柱信息披露报告》。</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420" w:rightChars="-2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本报告按照国家金融监管总局等监管要求而非按照企业会计准则编制，因此，本报告不能简单地与本行同期财务资料进行比较。本行已建立第三支柱信息披露治理架</w:t>
      </w:r>
      <w:bookmarkStart w:id="0" w:name="_GoBack"/>
      <w:bookmarkEnd w:id="0"/>
      <w:r>
        <w:rPr>
          <w:rFonts w:hint="eastAsia" w:ascii="仿宋" w:hAnsi="仿宋" w:eastAsia="仿宋" w:cs="仿宋"/>
          <w:sz w:val="32"/>
          <w:szCs w:val="32"/>
          <w:lang w:val="en-US" w:eastAsia="zh-CN"/>
        </w:rPr>
        <w:t>构，确保第三支柱披露信息真实、可靠。202</w:t>
      </w: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月</w:t>
      </w:r>
      <w:r>
        <w:rPr>
          <w:rFonts w:hint="default" w:ascii="仿宋" w:hAnsi="仿宋" w:eastAsia="仿宋" w:cs="仿宋"/>
          <w:sz w:val="32"/>
          <w:szCs w:val="32"/>
          <w:lang w:val="en-US" w:eastAsia="zh-CN"/>
        </w:rPr>
        <w:t>27</w:t>
      </w:r>
      <w:r>
        <w:rPr>
          <w:rFonts w:hint="eastAsia" w:ascii="仿宋" w:hAnsi="仿宋" w:eastAsia="仿宋" w:cs="仿宋"/>
          <w:sz w:val="32"/>
          <w:szCs w:val="32"/>
          <w:lang w:val="en-US" w:eastAsia="zh-CN"/>
        </w:rPr>
        <w:t>日，本行四届十二次董事会会议审议通过了本报告。</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420" w:rightChars="-2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根据《办法》，</w:t>
      </w:r>
      <w:r>
        <w:rPr>
          <w:rFonts w:hint="default" w:ascii="仿宋" w:hAnsi="仿宋" w:eastAsia="仿宋" w:cs="仿宋"/>
          <w:sz w:val="32"/>
          <w:szCs w:val="32"/>
          <w:lang w:val="en-US" w:eastAsia="zh-CN"/>
        </w:rPr>
        <w:t>2025年第一季度</w:t>
      </w:r>
      <w:r>
        <w:rPr>
          <w:rFonts w:hint="eastAsia" w:ascii="仿宋" w:hAnsi="仿宋" w:eastAsia="仿宋" w:cs="仿宋"/>
          <w:sz w:val="32"/>
          <w:szCs w:val="32"/>
          <w:lang w:val="en-US" w:eastAsia="zh-CN"/>
        </w:rPr>
        <w:t>本行需披露的报表如下：</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420" w:right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210" w:leftChars="-100" w:right="-420" w:rightChars="-20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附表</w:t>
      </w:r>
      <w:r>
        <w:rPr>
          <w:rFonts w:hint="default" w:ascii="黑体" w:hAnsi="黑体" w:eastAsia="黑体" w:cs="黑体"/>
          <w:sz w:val="28"/>
          <w:szCs w:val="28"/>
          <w:lang w:val="en-US" w:eastAsia="zh-CN"/>
        </w:rPr>
        <w:t>1</w:t>
      </w:r>
      <w:r>
        <w:rPr>
          <w:rFonts w:hint="eastAsia" w:ascii="黑体" w:hAnsi="黑体" w:eastAsia="黑体" w:cs="黑体"/>
          <w:sz w:val="28"/>
          <w:szCs w:val="28"/>
          <w:lang w:val="en-US" w:eastAsia="zh-CN"/>
        </w:rPr>
        <w:t>：KM1监管并表关键审慎监管指标</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420" w:rightChars="-200" w:firstLine="560" w:firstLineChars="200"/>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单位：人民币千元</w:t>
      </w:r>
    </w:p>
    <w:tbl>
      <w:tblPr>
        <w:tblStyle w:val="5"/>
        <w:tblW w:w="107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2355"/>
        <w:gridCol w:w="1531"/>
        <w:gridCol w:w="1531"/>
        <w:gridCol w:w="1531"/>
        <w:gridCol w:w="1531"/>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049" w:type="dxa"/>
            <w:gridSpan w:val="2"/>
            <w:vMerge w:val="restart"/>
            <w:tcBorders>
              <w:top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24"/>
                <w:szCs w:val="24"/>
                <w:u w:val="none"/>
              </w:rPr>
            </w:pP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a</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b</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c</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d</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049" w:type="dxa"/>
            <w:gridSpan w:val="2"/>
            <w:vMerge w:val="continue"/>
            <w:tcBorders>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24"/>
                <w:szCs w:val="24"/>
                <w:u w:val="none"/>
              </w:rPr>
            </w:pP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202</w:t>
            </w:r>
            <w:r>
              <w:rPr>
                <w:rFonts w:hint="default" w:ascii="仿宋" w:hAnsi="仿宋" w:eastAsia="仿宋" w:cs="仿宋"/>
                <w:b/>
                <w:bCs/>
                <w:i w:val="0"/>
                <w:iCs w:val="0"/>
                <w:color w:val="000000"/>
                <w:kern w:val="0"/>
                <w:sz w:val="24"/>
                <w:szCs w:val="24"/>
                <w:u w:val="none"/>
                <w:lang w:val="en-US" w:eastAsia="zh-CN" w:bidi="ar"/>
              </w:rPr>
              <w:t>5</w:t>
            </w:r>
            <w:r>
              <w:rPr>
                <w:rFonts w:hint="eastAsia" w:ascii="仿宋" w:hAnsi="仿宋" w:eastAsia="仿宋" w:cs="仿宋"/>
                <w:b/>
                <w:bCs/>
                <w:i w:val="0"/>
                <w:iCs w:val="0"/>
                <w:color w:val="000000"/>
                <w:kern w:val="0"/>
                <w:sz w:val="24"/>
                <w:szCs w:val="24"/>
                <w:u w:val="none"/>
                <w:lang w:val="en-US" w:eastAsia="zh-CN" w:bidi="ar"/>
              </w:rPr>
              <w:t>年</w:t>
            </w:r>
            <w:r>
              <w:rPr>
                <w:rFonts w:hint="default" w:ascii="仿宋" w:hAnsi="仿宋" w:eastAsia="仿宋" w:cs="仿宋"/>
                <w:b/>
                <w:bCs/>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月</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2024年12月</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2024年9月</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2024年6月</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2024年3月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049" w:type="dxa"/>
            <w:gridSpan w:val="2"/>
            <w:tcBorders>
              <w:top w:val="single" w:color="auto"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可用资本（数额）</w:t>
            </w:r>
          </w:p>
        </w:tc>
        <w:tc>
          <w:tcPr>
            <w:tcW w:w="1531" w:type="dxa"/>
            <w:tcBorders>
              <w:top w:val="single" w:color="auto" w:sz="4" w:space="0"/>
              <w:left w:val="nil"/>
              <w:bottom w:val="single" w:color="auto" w:sz="4" w:space="0"/>
              <w:right w:val="nil"/>
            </w:tcBorders>
            <w:shd w:val="clear" w:color="auto" w:fill="auto"/>
            <w:vAlign w:val="top"/>
          </w:tcPr>
          <w:p>
            <w:pPr>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核心一级资本净额</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3,077,524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3,118,090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3,073,954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964,216 </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953,640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一级资本净额</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3,077,524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3,118,090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3,073,954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964,216 </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953,640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资本净额</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3,228,951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3,250,580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3,195,143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1,077,540 </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1,065,111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049" w:type="dxa"/>
            <w:gridSpan w:val="2"/>
            <w:tcBorders>
              <w:top w:val="single" w:color="auto" w:sz="4" w:space="0"/>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风险加权资产（数额）</w:t>
            </w:r>
          </w:p>
        </w:tc>
        <w:tc>
          <w:tcPr>
            <w:tcW w:w="1531" w:type="dxa"/>
            <w:tcBorders>
              <w:top w:val="single" w:color="auto" w:sz="4" w:space="0"/>
              <w:left w:val="nil"/>
              <w:bottom w:val="single" w:color="auto" w:sz="4" w:space="0"/>
              <w:right w:val="nil"/>
            </w:tcBorders>
            <w:shd w:val="clear" w:color="auto" w:fill="auto"/>
            <w:vAlign w:val="top"/>
          </w:tcPr>
          <w:p>
            <w:pPr>
              <w:spacing w:line="400" w:lineRule="exact"/>
              <w:jc w:val="right"/>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风险加权资产</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14,627,416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13,167,828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11,119,013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9,796,806 </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9,644,526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049" w:type="dxa"/>
            <w:gridSpan w:val="2"/>
            <w:tcBorders>
              <w:top w:val="single" w:color="auto" w:sz="4" w:space="0"/>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资本充足率</w:t>
            </w:r>
          </w:p>
        </w:tc>
        <w:tc>
          <w:tcPr>
            <w:tcW w:w="1531" w:type="dxa"/>
            <w:tcBorders>
              <w:top w:val="single" w:color="auto" w:sz="4" w:space="0"/>
              <w:left w:val="nil"/>
              <w:bottom w:val="single" w:color="auto" w:sz="4" w:space="0"/>
              <w:right w:val="nil"/>
            </w:tcBorders>
            <w:shd w:val="clear" w:color="auto" w:fill="auto"/>
            <w:vAlign w:val="top"/>
          </w:tcPr>
          <w:p>
            <w:pPr>
              <w:spacing w:line="400" w:lineRule="exact"/>
              <w:jc w:val="right"/>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核心一级资本充足率（%）</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21.04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23.68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27.65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9.84 </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一级资本充足率（%）</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21.04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23.68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27.65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9.84 </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资本充足率（%）</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22.07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24.69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28.74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11.00 </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049" w:type="dxa"/>
            <w:gridSpan w:val="2"/>
            <w:tcBorders>
              <w:top w:val="single" w:color="auto" w:sz="4" w:space="0"/>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其他各级资本要求</w:t>
            </w:r>
          </w:p>
        </w:tc>
        <w:tc>
          <w:tcPr>
            <w:tcW w:w="1531" w:type="dxa"/>
            <w:tcBorders>
              <w:top w:val="single" w:color="auto" w:sz="4" w:space="0"/>
              <w:left w:val="nil"/>
              <w:bottom w:val="single" w:color="auto" w:sz="4" w:space="0"/>
              <w:right w:val="nil"/>
            </w:tcBorders>
            <w:shd w:val="clear" w:color="auto" w:fill="auto"/>
            <w:vAlign w:val="top"/>
          </w:tcPr>
          <w:p>
            <w:pPr>
              <w:spacing w:line="400" w:lineRule="exact"/>
              <w:jc w:val="right"/>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储备资本要求（%）</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2.50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2.50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2.50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2.50 </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逆周期资本要求（%）</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0.00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0.00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0.00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0.00 </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全球系统重要性银行或国内系统重要性银行附加资本要求（%）</w:t>
            </w:r>
          </w:p>
        </w:tc>
        <w:tc>
          <w:tcPr>
            <w:tcW w:w="1531" w:type="dxa"/>
            <w:tcBorders>
              <w:top w:val="single" w:color="auto" w:sz="4" w:space="0"/>
              <w:left w:val="single" w:color="auto" w:sz="4" w:space="0"/>
              <w:bottom w:val="single" w:color="auto" w:sz="4" w:space="0"/>
              <w:right w:val="single" w:color="auto" w:sz="4" w:space="0"/>
            </w:tcBorders>
            <w:shd w:val="clear" w:color="auto" w:fill="7F7F7F" w:themeFill="text1" w:themeFillTint="7F"/>
            <w:vAlign w:val="center"/>
          </w:tcPr>
          <w:p>
            <w:pPr>
              <w:spacing w:line="400" w:lineRule="exact"/>
              <w:jc w:val="right"/>
              <w:textAlignment w:val="center"/>
              <w:rPr>
                <w:rFonts w:hint="eastAsia" w:ascii="仿宋" w:hAnsi="仿宋" w:eastAsia="仿宋" w:cs="仿宋"/>
                <w:i w:val="0"/>
                <w:iCs w:val="0"/>
                <w:color w:val="000000"/>
                <w:kern w:val="0"/>
                <w:sz w:val="24"/>
                <w:szCs w:val="24"/>
                <w:u w:val="none"/>
                <w:lang w:bidi="ar"/>
              </w:rPr>
            </w:pPr>
          </w:p>
        </w:tc>
        <w:tc>
          <w:tcPr>
            <w:tcW w:w="1531" w:type="dxa"/>
            <w:tcBorders>
              <w:top w:val="single" w:color="auto" w:sz="4" w:space="0"/>
              <w:left w:val="single" w:color="auto" w:sz="4" w:space="0"/>
              <w:bottom w:val="single" w:color="auto" w:sz="4" w:space="0"/>
              <w:right w:val="single" w:color="auto" w:sz="4" w:space="0"/>
            </w:tcBorders>
            <w:shd w:val="clear" w:color="auto" w:fill="7F7F7F" w:themeFill="text1" w:themeFillTint="7F"/>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4"/>
                <w:szCs w:val="24"/>
                <w:u w:val="none"/>
              </w:rPr>
            </w:pPr>
          </w:p>
        </w:tc>
        <w:tc>
          <w:tcPr>
            <w:tcW w:w="1531" w:type="dxa"/>
            <w:tcBorders>
              <w:top w:val="single" w:color="auto" w:sz="4" w:space="0"/>
              <w:left w:val="single" w:color="auto" w:sz="4" w:space="0"/>
              <w:bottom w:val="single" w:color="auto" w:sz="4" w:space="0"/>
              <w:right w:val="single" w:color="auto" w:sz="4" w:space="0"/>
            </w:tcBorders>
            <w:shd w:val="clear" w:color="auto" w:fill="7F7F7F" w:themeFill="text1" w:themeFillTint="7F"/>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4"/>
                <w:szCs w:val="24"/>
                <w:u w:val="none"/>
              </w:rPr>
            </w:pPr>
          </w:p>
        </w:tc>
        <w:tc>
          <w:tcPr>
            <w:tcW w:w="1531" w:type="dxa"/>
            <w:tcBorders>
              <w:top w:val="single" w:color="auto" w:sz="4" w:space="0"/>
              <w:left w:val="single" w:color="auto" w:sz="4" w:space="0"/>
              <w:bottom w:val="single" w:color="auto" w:sz="4" w:space="0"/>
              <w:right w:val="single" w:color="auto" w:sz="4" w:space="0"/>
            </w:tcBorders>
            <w:shd w:val="clear" w:color="auto" w:fill="7F7F7F" w:themeFill="text1" w:themeFillTint="7F"/>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4"/>
                <w:szCs w:val="24"/>
                <w:u w:val="none"/>
              </w:rPr>
            </w:pPr>
          </w:p>
        </w:tc>
        <w:tc>
          <w:tcPr>
            <w:tcW w:w="1531" w:type="dxa"/>
            <w:tcBorders>
              <w:top w:val="single" w:color="auto" w:sz="4" w:space="0"/>
              <w:left w:val="single" w:color="auto" w:sz="4" w:space="0"/>
              <w:bottom w:val="single" w:color="auto" w:sz="4" w:space="0"/>
            </w:tcBorders>
            <w:shd w:val="clear" w:color="auto" w:fill="7F7F7F" w:themeFill="text1" w:themeFillTint="7F"/>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其他各级资本要求（%）（8+9+10）</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2.50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2.50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2.50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2.50 </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满足最低资本要求后的可用核心一级资本净额占风险加权资产的比例（%）</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14.07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16.69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20.74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3.00 </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049" w:type="dxa"/>
            <w:gridSpan w:val="2"/>
            <w:tcBorders>
              <w:top w:val="single" w:color="auto" w:sz="4" w:space="0"/>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杠杆率</w:t>
            </w:r>
          </w:p>
        </w:tc>
        <w:tc>
          <w:tcPr>
            <w:tcW w:w="1531" w:type="dxa"/>
            <w:tcBorders>
              <w:top w:val="single" w:color="auto" w:sz="4" w:space="0"/>
              <w:left w:val="nil"/>
              <w:bottom w:val="single" w:color="auto" w:sz="4" w:space="0"/>
              <w:right w:val="nil"/>
            </w:tcBorders>
            <w:shd w:val="clear" w:color="auto" w:fill="auto"/>
            <w:vAlign w:val="top"/>
          </w:tcPr>
          <w:p>
            <w:pPr>
              <w:spacing w:line="400" w:lineRule="exact"/>
              <w:jc w:val="right"/>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调整后表内外资产余额</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22,770,719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22,033,264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18,741,134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15,877,259 </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15,895,788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杠杆率（%）</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13.52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14.15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16.40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6.07 </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14a</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杠杆率a（%）</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13.52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14.15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16.40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6.07 </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049" w:type="dxa"/>
            <w:gridSpan w:val="2"/>
            <w:tcBorders>
              <w:top w:val="single" w:color="auto" w:sz="4" w:space="0"/>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流动性覆盖率</w:t>
            </w:r>
          </w:p>
        </w:tc>
        <w:tc>
          <w:tcPr>
            <w:tcW w:w="1531" w:type="dxa"/>
            <w:tcBorders>
              <w:top w:val="single" w:color="auto" w:sz="4" w:space="0"/>
              <w:left w:val="nil"/>
              <w:bottom w:val="single" w:color="auto" w:sz="4" w:space="0"/>
              <w:right w:val="nil"/>
            </w:tcBorders>
            <w:shd w:val="clear" w:color="auto" w:fill="auto"/>
            <w:vAlign w:val="top"/>
          </w:tcPr>
          <w:p>
            <w:pPr>
              <w:spacing w:line="400" w:lineRule="exact"/>
              <w:jc w:val="right"/>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合格优质流动性资产</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现金净流出量</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流动性覆盖率（%）</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049" w:type="dxa"/>
            <w:gridSpan w:val="2"/>
            <w:tcBorders>
              <w:top w:val="single" w:color="auto" w:sz="4" w:space="0"/>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净稳定资金比例</w:t>
            </w:r>
          </w:p>
        </w:tc>
        <w:tc>
          <w:tcPr>
            <w:tcW w:w="1531" w:type="dxa"/>
            <w:tcBorders>
              <w:top w:val="single" w:color="auto" w:sz="4" w:space="0"/>
              <w:left w:val="nil"/>
              <w:bottom w:val="single" w:color="auto" w:sz="4" w:space="0"/>
              <w:right w:val="nil"/>
            </w:tcBorders>
            <w:shd w:val="clear" w:color="auto" w:fill="auto"/>
            <w:vAlign w:val="top"/>
          </w:tcPr>
          <w:p>
            <w:pPr>
              <w:spacing w:line="4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可用稳定资金合计</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所需稳定资金合计</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净稳定资金比例（%）</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049" w:type="dxa"/>
            <w:gridSpan w:val="2"/>
            <w:tcBorders>
              <w:top w:val="single" w:color="auto" w:sz="4" w:space="0"/>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流动性比例</w:t>
            </w:r>
          </w:p>
        </w:tc>
        <w:tc>
          <w:tcPr>
            <w:tcW w:w="1531" w:type="dxa"/>
            <w:tcBorders>
              <w:top w:val="single" w:color="auto" w:sz="4" w:space="0"/>
              <w:left w:val="nil"/>
              <w:bottom w:val="single" w:color="auto" w:sz="4" w:space="0"/>
              <w:right w:val="nil"/>
            </w:tcBorders>
            <w:shd w:val="clear" w:color="auto" w:fill="auto"/>
            <w:vAlign w:val="top"/>
          </w:tcPr>
          <w:p>
            <w:pPr>
              <w:spacing w:line="400" w:lineRule="exact"/>
              <w:jc w:val="right"/>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531" w:type="dxa"/>
            <w:tcBorders>
              <w:top w:val="single" w:color="auto" w:sz="4" w:space="0"/>
              <w:left w:val="nil"/>
              <w:bottom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流动性比例（%）</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89.75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79.06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99.14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56.11 </w:t>
            </w:r>
          </w:p>
        </w:tc>
        <w:tc>
          <w:tcPr>
            <w:tcW w:w="153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54.99 </w:t>
            </w:r>
          </w:p>
        </w:tc>
      </w:tr>
    </w:tbl>
    <w:p>
      <w:pPr>
        <w:keepNext w:val="0"/>
        <w:keepLines w:val="0"/>
        <w:pageBreakBefore w:val="0"/>
        <w:widowControl w:val="0"/>
        <w:kinsoku/>
        <w:overflowPunct/>
        <w:topLinePunct w:val="0"/>
        <w:autoSpaceDE/>
        <w:autoSpaceDN/>
        <w:bidi w:val="0"/>
        <w:adjustRightInd/>
        <w:snapToGrid/>
        <w:spacing w:line="560" w:lineRule="exact"/>
        <w:ind w:left="-210" w:leftChars="-100" w:right="-420" w:rightChars="-200"/>
        <w:textAlignment w:val="auto"/>
        <w:rPr>
          <w:rFonts w:hint="default" w:ascii="黑体" w:hAnsi="黑体" w:eastAsia="黑体" w:cs="黑体"/>
          <w:sz w:val="28"/>
          <w:szCs w:val="28"/>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210" w:leftChars="-100" w:right="-420" w:rightChars="-200"/>
        <w:textAlignment w:val="auto"/>
        <w:rPr>
          <w:rFonts w:hint="default" w:ascii="黑体" w:hAnsi="黑体" w:eastAsia="黑体" w:cs="黑体"/>
          <w:sz w:val="28"/>
          <w:szCs w:val="2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210" w:leftChars="-100" w:right="-420" w:rightChars="-200" w:firstLine="640" w:firstLineChars="200"/>
        <w:jc w:val="right"/>
        <w:textAlignment w:val="auto"/>
        <w:rPr>
          <w:rFonts w:hint="default" w:ascii="黑体" w:hAnsi="黑体" w:eastAsia="黑体" w:cs="黑体"/>
          <w:sz w:val="28"/>
          <w:szCs w:val="28"/>
          <w:lang w:val="en-US" w:eastAsia="zh-CN"/>
        </w:rPr>
      </w:pPr>
      <w:r>
        <w:rPr>
          <w:rFonts w:hint="eastAsia" w:ascii="仿宋" w:hAnsi="仿宋" w:eastAsia="仿宋"/>
          <w:sz w:val="32"/>
          <w:szCs w:val="32"/>
        </w:rPr>
        <w:t xml:space="preserve"> </w:t>
      </w:r>
      <w:r>
        <w:rPr>
          <w:rFonts w:hint="default" w:ascii="仿宋" w:hAnsi="仿宋" w:eastAsia="仿宋"/>
          <w:sz w:val="32"/>
          <w:szCs w:val="32"/>
          <w:lang w:val="en-US"/>
        </w:rPr>
        <w:t>2025</w:t>
      </w:r>
      <w:r>
        <w:rPr>
          <w:rFonts w:hint="eastAsia" w:ascii="仿宋" w:hAnsi="仿宋" w:eastAsia="仿宋" w:cs="仿宋_GB2312"/>
          <w:sz w:val="32"/>
          <w:szCs w:val="32"/>
        </w:rPr>
        <w:t>年</w:t>
      </w:r>
      <w:r>
        <w:rPr>
          <w:rFonts w:hint="default" w:ascii="仿宋" w:hAnsi="仿宋" w:eastAsia="仿宋" w:cs="仿宋_GB2312"/>
          <w:sz w:val="32"/>
          <w:szCs w:val="32"/>
          <w:lang w:val="en-US" w:eastAsia="zh-CN"/>
        </w:rPr>
        <w:t>4</w:t>
      </w:r>
      <w:r>
        <w:rPr>
          <w:rFonts w:hint="eastAsia" w:ascii="仿宋" w:hAnsi="仿宋" w:eastAsia="仿宋" w:cs="仿宋_GB2312"/>
          <w:sz w:val="32"/>
          <w:szCs w:val="32"/>
        </w:rPr>
        <w:t>月</w:t>
      </w:r>
      <w:r>
        <w:rPr>
          <w:rFonts w:hint="default" w:ascii="仿宋" w:hAnsi="仿宋" w:eastAsia="仿宋" w:cs="仿宋_GB2312"/>
          <w:sz w:val="32"/>
          <w:szCs w:val="32"/>
          <w:lang w:val="en-US" w:eastAsia="zh-CN"/>
        </w:rPr>
        <w:t>27</w:t>
      </w:r>
      <w:r>
        <w:rPr>
          <w:rFonts w:hint="eastAsia" w:ascii="仿宋" w:hAnsi="仿宋" w:eastAsia="仿宋"/>
          <w:sz w:val="32"/>
          <w:szCs w:val="32"/>
        </w:rPr>
        <w:t>日</w:t>
      </w:r>
      <w:r>
        <w:rPr>
          <w:rFonts w:hint="default" w:ascii="仿宋" w:hAnsi="仿宋" w:eastAsia="仿宋"/>
          <w:sz w:val="32"/>
          <w:szCs w:val="32"/>
          <w:lang w:val="en-US"/>
        </w:rPr>
        <w:t xml:space="preserve"> </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长城小标宋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26BF7"/>
    <w:rsid w:val="01892B12"/>
    <w:rsid w:val="08926BF7"/>
    <w:rsid w:val="12CF7D85"/>
    <w:rsid w:val="195E4F12"/>
    <w:rsid w:val="1F9E004B"/>
    <w:rsid w:val="24545DF3"/>
    <w:rsid w:val="28417A9B"/>
    <w:rsid w:val="29C354DF"/>
    <w:rsid w:val="2D36241F"/>
    <w:rsid w:val="3FDF63B3"/>
    <w:rsid w:val="441976D9"/>
    <w:rsid w:val="525E29D0"/>
    <w:rsid w:val="541E2BB9"/>
    <w:rsid w:val="581318CF"/>
    <w:rsid w:val="5C433F36"/>
    <w:rsid w:val="7412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eastAsia="宋体" w:cs="Times New Roman"/>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qFormat/>
    <w:uiPriority w:val="0"/>
    <w:rPr>
      <w:rFonts w:hint="default" w:ascii="仿宋_GB2312" w:eastAsia="仿宋_GB2312" w:cs="仿宋_GB2312"/>
      <w:color w:val="000000"/>
      <w:sz w:val="28"/>
      <w:szCs w:val="28"/>
      <w:u w:val="none"/>
    </w:rPr>
  </w:style>
  <w:style w:type="character" w:customStyle="1" w:styleId="8">
    <w:name w:val="font31"/>
    <w:basedOn w:val="6"/>
    <w:qFormat/>
    <w:uiPriority w:val="0"/>
    <w:rPr>
      <w:rFonts w:hint="eastAsia" w:ascii="微软雅黑" w:hAnsi="微软雅黑" w:eastAsia="微软雅黑" w:cs="微软雅黑"/>
      <w:b/>
      <w:bCs/>
      <w:color w:val="000000"/>
      <w:sz w:val="18"/>
      <w:szCs w:val="18"/>
      <w:u w:val="none"/>
    </w:rPr>
  </w:style>
  <w:style w:type="character" w:customStyle="1" w:styleId="9">
    <w:name w:val="font21"/>
    <w:basedOn w:val="6"/>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2024-04-25T01:15:00Z</dcterms:created>
  <dc:creator>83106837</dc:creator>
  <cp:lastModifiedBy>83106837</cp:lastModifiedBy>
  <dcterms:modified xsi:type="dcterms:W3CDTF">2025-04-27T05:31:51Z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53BC9A46872944EF9ABA7E9F5AD4EB33</vt:lpwstr>
  </property>
</Properties>
</file>