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210" w:leftChars="-100" w:right="-420" w:rightChars="-200"/>
        <w:jc w:val="center"/>
        <w:textAlignment w:val="auto"/>
        <w:rPr>
          <w:rFonts w:hint="eastAsia" w:ascii="长城小标宋体" w:hAnsi="长城小标宋体" w:eastAsia="长城小标宋体" w:cs="长城小标宋体"/>
          <w:sz w:val="44"/>
          <w:szCs w:val="44"/>
          <w:lang w:val="en-US" w:eastAsia="zh-CN"/>
        </w:rPr>
      </w:pPr>
      <w:r>
        <w:rPr>
          <w:rFonts w:hint="eastAsia" w:ascii="长城小标宋体" w:hAnsi="长城小标宋体" w:eastAsia="长城小标宋体" w:cs="长城小标宋体"/>
          <w:sz w:val="44"/>
          <w:szCs w:val="44"/>
          <w:lang w:val="en-US" w:eastAsia="zh-CN"/>
        </w:rPr>
        <w:t>宁波东海银行股份有限公司</w:t>
      </w:r>
    </w:p>
    <w:p>
      <w:pPr>
        <w:keepNext w:val="0"/>
        <w:keepLines w:val="0"/>
        <w:pageBreakBefore w:val="0"/>
        <w:widowControl w:val="0"/>
        <w:kinsoku/>
        <w:wordWrap/>
        <w:overflowPunct/>
        <w:topLinePunct w:val="0"/>
        <w:autoSpaceDE/>
        <w:autoSpaceDN/>
        <w:bidi w:val="0"/>
        <w:adjustRightInd/>
        <w:snapToGrid/>
        <w:spacing w:line="560" w:lineRule="exact"/>
        <w:ind w:left="-210" w:leftChars="-100" w:right="-420" w:rightChars="-200"/>
        <w:jc w:val="center"/>
        <w:textAlignment w:val="auto"/>
        <w:rPr>
          <w:rFonts w:hint="eastAsia" w:ascii="长城小标宋体" w:hAnsi="长城小标宋体" w:eastAsia="长城小标宋体" w:cs="长城小标宋体"/>
          <w:sz w:val="44"/>
          <w:szCs w:val="44"/>
          <w:lang w:val="en-US" w:eastAsia="zh-CN"/>
        </w:rPr>
      </w:pPr>
      <w:r>
        <w:rPr>
          <w:rFonts w:hint="eastAsia" w:ascii="长城小标宋体" w:hAnsi="长城小标宋体" w:eastAsia="长城小标宋体" w:cs="长城小标宋体"/>
          <w:sz w:val="44"/>
          <w:szCs w:val="44"/>
          <w:lang w:val="en-US" w:eastAsia="zh-CN"/>
        </w:rPr>
        <w:t>202</w:t>
      </w:r>
      <w:r>
        <w:rPr>
          <w:rFonts w:hint="default" w:ascii="长城小标宋体" w:hAnsi="长城小标宋体" w:eastAsia="长城小标宋体" w:cs="长城小标宋体"/>
          <w:sz w:val="44"/>
          <w:szCs w:val="44"/>
          <w:lang w:val="en-US" w:eastAsia="zh-CN"/>
        </w:rPr>
        <w:t>5</w:t>
      </w:r>
      <w:r>
        <w:rPr>
          <w:rFonts w:hint="eastAsia" w:ascii="长城小标宋体" w:hAnsi="长城小标宋体" w:eastAsia="长城小标宋体" w:cs="长城小标宋体"/>
          <w:sz w:val="44"/>
          <w:szCs w:val="44"/>
          <w:lang w:val="en-US" w:eastAsia="zh-CN"/>
        </w:rPr>
        <w:t>年度第三支柱信息披露报告</w:t>
      </w:r>
    </w:p>
    <w:p>
      <w:pPr>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210" w:leftChars="-100" w:right="-420" w:rightChars="-200" w:firstLine="640" w:firstLineChars="200"/>
        <w:textAlignment w:val="auto"/>
        <w:rPr>
          <w:rFonts w:hint="eastAsia"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宁波东海银行股份有限公司（以下简称“本行”）</w:t>
      </w:r>
      <w:r>
        <w:rPr>
          <w:rFonts w:hint="eastAsia" w:ascii="仿宋" w:hAnsi="仿宋" w:eastAsia="仿宋" w:cs="仿宋"/>
          <w:sz w:val="32"/>
          <w:szCs w:val="32"/>
          <w:highlight w:val="none"/>
          <w:lang w:val="en-US" w:eastAsia="zh-CN"/>
        </w:rPr>
        <w:t>根据</w:t>
      </w:r>
      <w:r>
        <w:rPr>
          <w:rFonts w:hint="eastAsia" w:ascii="仿宋" w:hAnsi="仿宋" w:eastAsia="仿宋" w:cs="仿宋"/>
          <w:sz w:val="32"/>
          <w:szCs w:val="32"/>
          <w:lang w:val="en-US" w:eastAsia="zh-CN"/>
        </w:rPr>
        <w:t>国家金融监督管理总局</w:t>
      </w:r>
      <w:r>
        <w:rPr>
          <w:rFonts w:hint="eastAsia" w:ascii="仿宋" w:hAnsi="仿宋" w:eastAsia="仿宋" w:cs="仿宋"/>
          <w:sz w:val="32"/>
          <w:szCs w:val="32"/>
          <w:highlight w:val="none"/>
          <w:lang w:val="en-US" w:eastAsia="zh-CN"/>
        </w:rPr>
        <w:t>《商业银行资本管理办法》（</w:t>
      </w:r>
      <w:r>
        <w:rPr>
          <w:rFonts w:hint="eastAsia" w:ascii="仿宋" w:hAnsi="仿宋" w:eastAsia="仿宋" w:cs="仿宋"/>
          <w:sz w:val="32"/>
          <w:szCs w:val="32"/>
          <w:lang w:val="en-US" w:eastAsia="zh-CN"/>
        </w:rPr>
        <w:t>国家金融监督管理总局</w:t>
      </w:r>
      <w:r>
        <w:rPr>
          <w:rFonts w:hint="eastAsia" w:ascii="仿宋" w:hAnsi="仿宋" w:eastAsia="仿宋" w:cs="仿宋"/>
          <w:sz w:val="32"/>
          <w:szCs w:val="32"/>
          <w:highlight w:val="none"/>
          <w:lang w:val="en-US" w:eastAsia="zh-CN"/>
        </w:rPr>
        <w:t>令</w:t>
      </w:r>
      <w:r>
        <w:rPr>
          <w:rFonts w:hint="default" w:ascii="仿宋" w:hAnsi="仿宋" w:eastAsia="仿宋" w:cs="仿宋"/>
          <w:sz w:val="32"/>
          <w:szCs w:val="32"/>
          <w:highlight w:val="none"/>
          <w:lang w:val="en-US" w:eastAsia="zh-CN"/>
        </w:rPr>
        <w:t>2023</w:t>
      </w:r>
      <w:r>
        <w:rPr>
          <w:rFonts w:hint="eastAsia" w:ascii="仿宋" w:hAnsi="仿宋" w:eastAsia="仿宋" w:cs="仿宋"/>
          <w:sz w:val="32"/>
          <w:szCs w:val="32"/>
          <w:highlight w:val="none"/>
          <w:lang w:val="en-US" w:eastAsia="zh-CN"/>
        </w:rPr>
        <w:t>年第</w:t>
      </w:r>
      <w:r>
        <w:rPr>
          <w:rFonts w:hint="default" w:ascii="仿宋" w:hAnsi="仿宋" w:eastAsia="仿宋" w:cs="仿宋"/>
          <w:sz w:val="32"/>
          <w:szCs w:val="32"/>
          <w:highlight w:val="none"/>
          <w:lang w:val="en-US" w:eastAsia="zh-CN"/>
        </w:rPr>
        <w:t>4</w:t>
      </w:r>
      <w:r>
        <w:rPr>
          <w:rFonts w:hint="eastAsia" w:ascii="仿宋" w:hAnsi="仿宋" w:eastAsia="仿宋" w:cs="仿宋"/>
          <w:sz w:val="32"/>
          <w:szCs w:val="32"/>
          <w:highlight w:val="none"/>
          <w:lang w:val="en-US" w:eastAsia="zh-CN"/>
        </w:rPr>
        <w:t>号）（以下简称“办法”）及相关规定要求，编制《202</w:t>
      </w:r>
      <w:r>
        <w:rPr>
          <w:rFonts w:hint="default" w:ascii="仿宋" w:hAnsi="仿宋" w:eastAsia="仿宋" w:cs="仿宋"/>
          <w:sz w:val="32"/>
          <w:szCs w:val="32"/>
          <w:highlight w:val="none"/>
          <w:lang w:val="en-US" w:eastAsia="zh-CN"/>
        </w:rPr>
        <w:t>5</w:t>
      </w:r>
      <w:r>
        <w:rPr>
          <w:rFonts w:hint="eastAsia" w:ascii="仿宋" w:hAnsi="仿宋" w:eastAsia="仿宋" w:cs="仿宋"/>
          <w:sz w:val="32"/>
          <w:szCs w:val="32"/>
          <w:highlight w:val="none"/>
          <w:lang w:val="en-US" w:eastAsia="zh-CN"/>
        </w:rPr>
        <w:t>年度第三支柱信息披露报告》。</w:t>
      </w:r>
    </w:p>
    <w:p>
      <w:pPr>
        <w:keepNext w:val="0"/>
        <w:keepLines w:val="0"/>
        <w:pageBreakBefore w:val="0"/>
        <w:widowControl w:val="0"/>
        <w:kinsoku/>
        <w:wordWrap/>
        <w:overflowPunct/>
        <w:topLinePunct w:val="0"/>
        <w:autoSpaceDE/>
        <w:autoSpaceDN/>
        <w:bidi w:val="0"/>
        <w:adjustRightInd/>
        <w:snapToGrid/>
        <w:spacing w:line="560" w:lineRule="exact"/>
        <w:ind w:left="-210" w:leftChars="-100" w:right="-420" w:rightChars="-20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本报告按照</w:t>
      </w:r>
      <w:r>
        <w:rPr>
          <w:rFonts w:hint="eastAsia" w:ascii="仿宋" w:hAnsi="仿宋" w:eastAsia="仿宋" w:cs="仿宋"/>
          <w:sz w:val="32"/>
          <w:szCs w:val="32"/>
          <w:lang w:val="en-US" w:eastAsia="zh-CN"/>
        </w:rPr>
        <w:t>国家金融监督管理总局</w:t>
      </w:r>
      <w:r>
        <w:rPr>
          <w:rFonts w:hint="eastAsia" w:ascii="仿宋" w:hAnsi="仿宋" w:eastAsia="仿宋" w:cs="仿宋"/>
          <w:sz w:val="32"/>
          <w:szCs w:val="32"/>
          <w:highlight w:val="none"/>
          <w:lang w:val="en-US" w:eastAsia="zh-CN"/>
        </w:rPr>
        <w:t>等监管要求而非按照企业会计准则编制，因此，本报告不能简单地与本行同期财务资料进行比较。本行已建立第三支柱信息披露治理架构，确保第三支柱披露信息真实、可靠。</w:t>
      </w:r>
      <w:r>
        <w:rPr>
          <w:rFonts w:hint="eastAsia" w:ascii="仿宋" w:hAnsi="仿宋" w:eastAsia="仿宋" w:cs="仿宋"/>
          <w:sz w:val="32"/>
          <w:szCs w:val="32"/>
          <w:lang w:val="en-US" w:eastAsia="zh-CN"/>
        </w:rPr>
        <w:t>2026年4月24日</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lang w:val="en-US" w:eastAsia="zh-CN"/>
        </w:rPr>
        <w:t>本行四届十五次董事会会议审议通过了本报告。</w:t>
      </w:r>
    </w:p>
    <w:p>
      <w:pPr>
        <w:keepNext w:val="0"/>
        <w:keepLines w:val="0"/>
        <w:pageBreakBefore w:val="0"/>
        <w:widowControl w:val="0"/>
        <w:kinsoku/>
        <w:wordWrap/>
        <w:overflowPunct/>
        <w:topLinePunct w:val="0"/>
        <w:autoSpaceDE/>
        <w:autoSpaceDN/>
        <w:bidi w:val="0"/>
        <w:adjustRightInd/>
        <w:snapToGrid/>
        <w:spacing w:line="560" w:lineRule="exact"/>
        <w:ind w:left="-210" w:leftChars="-100" w:right="-420" w:rightChars="-200"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lang w:val="en-US" w:eastAsia="zh-CN"/>
        </w:rPr>
        <w:t>根据《办法》，</w:t>
      </w:r>
      <w:r>
        <w:rPr>
          <w:rFonts w:hint="eastAsia" w:ascii="仿宋" w:hAnsi="仿宋" w:eastAsia="仿宋" w:cs="仿宋"/>
          <w:sz w:val="32"/>
          <w:szCs w:val="32"/>
          <w:highlight w:val="none"/>
          <w:lang w:val="en-US" w:eastAsia="zh-CN"/>
        </w:rPr>
        <w:t>2025年度本行需披露的报表如下:</w:t>
      </w:r>
    </w:p>
    <w:p>
      <w:pPr>
        <w:jc w:val="center"/>
        <w:rPr>
          <w:rFonts w:hint="eastAsia" w:ascii="仿宋" w:hAnsi="仿宋" w:eastAsia="仿宋" w:cs="仿宋"/>
          <w:sz w:val="32"/>
          <w:szCs w:val="32"/>
          <w:lang w:val="en-US" w:eastAsia="zh-CN"/>
        </w:rPr>
      </w:pPr>
    </w:p>
    <w:p>
      <w:pPr>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附表</w:t>
      </w:r>
      <w:r>
        <w:rPr>
          <w:rFonts w:hint="default" w:ascii="黑体" w:hAnsi="黑体" w:eastAsia="黑体" w:cs="黑体"/>
          <w:sz w:val="28"/>
          <w:szCs w:val="28"/>
          <w:lang w:val="en-US" w:eastAsia="zh-CN"/>
        </w:rPr>
        <w:t>1</w:t>
      </w:r>
      <w:r>
        <w:rPr>
          <w:rFonts w:hint="eastAsia" w:ascii="黑体" w:hAnsi="黑体" w:eastAsia="黑体" w:cs="黑体"/>
          <w:sz w:val="28"/>
          <w:szCs w:val="28"/>
          <w:lang w:val="en-US" w:eastAsia="zh-CN"/>
        </w:rPr>
        <w:t>：KM1监管并表关键审慎监管指标</w:t>
      </w:r>
    </w:p>
    <w:p>
      <w:pPr>
        <w:ind w:firstLine="560" w:firstLineChars="200"/>
        <w:jc w:val="righ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单位：人民币千元</w:t>
      </w:r>
    </w:p>
    <w:tbl>
      <w:tblPr>
        <w:tblStyle w:val="5"/>
        <w:tblW w:w="107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4"/>
        <w:gridCol w:w="2355"/>
        <w:gridCol w:w="1531"/>
        <w:gridCol w:w="1531"/>
        <w:gridCol w:w="1531"/>
        <w:gridCol w:w="1531"/>
        <w:gridCol w:w="1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049" w:type="dxa"/>
            <w:gridSpan w:val="2"/>
            <w:vMerge w:val="restart"/>
            <w:tcBorders>
              <w:top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i w:val="0"/>
                <w:iCs w:val="0"/>
                <w:color w:val="000000"/>
                <w:sz w:val="24"/>
                <w:szCs w:val="24"/>
                <w:u w:val="none"/>
              </w:rPr>
            </w:pP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a</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b</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c</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d</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049" w:type="dxa"/>
            <w:gridSpan w:val="2"/>
            <w:vMerge w:val="continue"/>
            <w:tcBorders>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i w:val="0"/>
                <w:iCs w:val="0"/>
                <w:color w:val="000000"/>
                <w:sz w:val="24"/>
                <w:szCs w:val="24"/>
                <w:u w:val="none"/>
              </w:rPr>
            </w:pP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2025年12月</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2025年9月</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u w:val="none"/>
              </w:rPr>
            </w:pPr>
            <w:r>
              <w:rPr>
                <w:rFonts w:hint="default" w:ascii="仿宋" w:hAnsi="仿宋" w:eastAsia="仿宋" w:cs="仿宋"/>
                <w:b/>
                <w:bCs/>
                <w:i w:val="0"/>
                <w:iCs w:val="0"/>
                <w:color w:val="000000"/>
                <w:kern w:val="0"/>
                <w:sz w:val="24"/>
                <w:szCs w:val="24"/>
                <w:u w:val="none"/>
                <w:lang w:val="en-US" w:eastAsia="zh-CN" w:bidi="ar"/>
              </w:rPr>
              <w:t>2025</w:t>
            </w:r>
            <w:r>
              <w:rPr>
                <w:rFonts w:hint="eastAsia" w:ascii="仿宋" w:hAnsi="仿宋" w:eastAsia="仿宋" w:cs="仿宋"/>
                <w:b/>
                <w:bCs/>
                <w:i w:val="0"/>
                <w:iCs w:val="0"/>
                <w:color w:val="000000"/>
                <w:kern w:val="0"/>
                <w:sz w:val="24"/>
                <w:szCs w:val="24"/>
                <w:u w:val="none"/>
                <w:lang w:val="en-US" w:eastAsia="zh-CN" w:bidi="ar"/>
              </w:rPr>
              <w:t>年</w:t>
            </w:r>
            <w:r>
              <w:rPr>
                <w:rFonts w:hint="default" w:ascii="仿宋" w:hAnsi="仿宋" w:eastAsia="仿宋" w:cs="仿宋"/>
                <w:b/>
                <w:bCs/>
                <w:i w:val="0"/>
                <w:iCs w:val="0"/>
                <w:color w:val="000000"/>
                <w:kern w:val="0"/>
                <w:sz w:val="24"/>
                <w:szCs w:val="24"/>
                <w:u w:val="none"/>
                <w:lang w:val="en-US" w:eastAsia="zh-CN" w:bidi="ar"/>
              </w:rPr>
              <w:t>6</w:t>
            </w:r>
            <w:r>
              <w:rPr>
                <w:rFonts w:hint="eastAsia" w:ascii="仿宋" w:hAnsi="仿宋" w:eastAsia="仿宋" w:cs="仿宋"/>
                <w:b/>
                <w:bCs/>
                <w:i w:val="0"/>
                <w:iCs w:val="0"/>
                <w:color w:val="000000"/>
                <w:kern w:val="0"/>
                <w:sz w:val="24"/>
                <w:szCs w:val="24"/>
                <w:u w:val="none"/>
                <w:lang w:val="en-US" w:eastAsia="zh-CN" w:bidi="ar"/>
              </w:rPr>
              <w:t>月</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202</w:t>
            </w:r>
            <w:r>
              <w:rPr>
                <w:rFonts w:hint="default" w:ascii="仿宋" w:hAnsi="仿宋" w:eastAsia="仿宋" w:cs="仿宋"/>
                <w:b/>
                <w:bCs/>
                <w:i w:val="0"/>
                <w:iCs w:val="0"/>
                <w:color w:val="000000"/>
                <w:kern w:val="0"/>
                <w:sz w:val="24"/>
                <w:szCs w:val="24"/>
                <w:u w:val="none"/>
                <w:lang w:val="en-US" w:eastAsia="zh-CN" w:bidi="ar"/>
              </w:rPr>
              <w:t>5</w:t>
            </w:r>
            <w:r>
              <w:rPr>
                <w:rFonts w:hint="eastAsia" w:ascii="仿宋" w:hAnsi="仿宋" w:eastAsia="仿宋" w:cs="仿宋"/>
                <w:b/>
                <w:bCs/>
                <w:i w:val="0"/>
                <w:iCs w:val="0"/>
                <w:color w:val="000000"/>
                <w:kern w:val="0"/>
                <w:sz w:val="24"/>
                <w:szCs w:val="24"/>
                <w:u w:val="none"/>
                <w:lang w:val="en-US" w:eastAsia="zh-CN" w:bidi="ar"/>
              </w:rPr>
              <w:t>年</w:t>
            </w:r>
            <w:r>
              <w:rPr>
                <w:rFonts w:hint="default" w:ascii="仿宋" w:hAnsi="仿宋" w:eastAsia="仿宋" w:cs="仿宋"/>
                <w:b/>
                <w:bCs/>
                <w:i w:val="0"/>
                <w:iCs w:val="0"/>
                <w:color w:val="000000"/>
                <w:kern w:val="0"/>
                <w:sz w:val="24"/>
                <w:szCs w:val="24"/>
                <w:u w:val="none"/>
                <w:lang w:val="en-US" w:eastAsia="zh-CN" w:bidi="ar"/>
              </w:rPr>
              <w:t>3</w:t>
            </w:r>
            <w:r>
              <w:rPr>
                <w:rFonts w:hint="eastAsia" w:ascii="仿宋" w:hAnsi="仿宋" w:eastAsia="仿宋" w:cs="仿宋"/>
                <w:b/>
                <w:bCs/>
                <w:i w:val="0"/>
                <w:iCs w:val="0"/>
                <w:color w:val="000000"/>
                <w:kern w:val="0"/>
                <w:sz w:val="24"/>
                <w:szCs w:val="24"/>
                <w:u w:val="none"/>
                <w:lang w:val="en-US" w:eastAsia="zh-CN" w:bidi="ar"/>
              </w:rPr>
              <w:t>月</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049" w:type="dxa"/>
            <w:gridSpan w:val="2"/>
            <w:tcBorders>
              <w:top w:val="single" w:color="auto"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可用资本（数额）</w:t>
            </w:r>
          </w:p>
        </w:tc>
        <w:tc>
          <w:tcPr>
            <w:tcW w:w="1531" w:type="dxa"/>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spacing w:line="400" w:lineRule="exact"/>
              <w:jc w:val="right"/>
              <w:textAlignment w:val="center"/>
              <w:rPr>
                <w:rFonts w:hint="eastAsia" w:ascii="仿宋" w:hAnsi="仿宋" w:eastAsia="仿宋" w:cs="仿宋"/>
                <w:b/>
                <w:bCs/>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widowControl/>
              <w:spacing w:line="400" w:lineRule="exact"/>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rPr>
                <w:rFonts w:hint="eastAsia" w:ascii="仿宋" w:hAnsi="仿宋" w:eastAsia="仿宋" w:cs="仿宋"/>
                <w:b/>
                <w:bCs/>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 w:hAnsi="仿宋" w:eastAsia="仿宋" w:cs="仿宋"/>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核心一级资本净额</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3,154,265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3,086,511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3,126,119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3,077,524 </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3,118,090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一级资本净额</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3,154,265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3,086,511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3,126,119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3,077,524 </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3,118,090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资本净额</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3,354,028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3,272,997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3,306,501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3,228,951 </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3,250,580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049" w:type="dxa"/>
            <w:gridSpan w:val="2"/>
            <w:tcBorders>
              <w:top w:val="single" w:color="auto" w:sz="4" w:space="0"/>
              <w:bottom w:val="single" w:color="auto" w:sz="4" w:space="0"/>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风险加权资产（数额）</w:t>
            </w:r>
          </w:p>
        </w:tc>
        <w:tc>
          <w:tcPr>
            <w:tcW w:w="1531" w:type="dxa"/>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spacing w:line="400" w:lineRule="exact"/>
              <w:jc w:val="right"/>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spacing w:line="400" w:lineRule="exact"/>
              <w:jc w:val="right"/>
              <w:textAlignment w:val="center"/>
              <w:rPr>
                <w:rFonts w:hint="eastAsia" w:ascii="仿宋" w:hAnsi="仿宋" w:eastAsia="仿宋" w:cs="仿宋"/>
                <w:b/>
                <w:bCs/>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spacing w:line="400" w:lineRule="exact"/>
              <w:jc w:val="right"/>
              <w:textAlignment w:val="center"/>
              <w:rPr>
                <w:rFonts w:hint="eastAsia" w:ascii="仿宋" w:hAnsi="仿宋" w:eastAsia="仿宋" w:cs="仿宋"/>
                <w:b/>
                <w:bCs/>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仿宋" w:hAnsi="仿宋" w:eastAsia="仿宋" w:cs="仿宋"/>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风险加权资产</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18,052,218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17,332,251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16,460,534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14,627,416 </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13,167,828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049" w:type="dxa"/>
            <w:gridSpan w:val="2"/>
            <w:tcBorders>
              <w:top w:val="single" w:color="auto" w:sz="4" w:space="0"/>
              <w:bottom w:val="single" w:color="auto" w:sz="4" w:space="0"/>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资本充足率</w:t>
            </w:r>
          </w:p>
        </w:tc>
        <w:tc>
          <w:tcPr>
            <w:tcW w:w="1531" w:type="dxa"/>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spacing w:line="400" w:lineRule="exact"/>
              <w:jc w:val="right"/>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spacing w:line="400" w:lineRule="exact"/>
              <w:jc w:val="right"/>
              <w:textAlignment w:val="center"/>
              <w:rPr>
                <w:rFonts w:hint="eastAsia" w:ascii="仿宋" w:hAnsi="仿宋" w:eastAsia="仿宋" w:cs="仿宋"/>
                <w:b/>
                <w:bCs/>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spacing w:line="400" w:lineRule="exact"/>
              <w:jc w:val="right"/>
              <w:textAlignment w:val="center"/>
              <w:rPr>
                <w:rFonts w:hint="eastAsia" w:ascii="仿宋" w:hAnsi="仿宋" w:eastAsia="仿宋" w:cs="仿宋"/>
                <w:b/>
                <w:bCs/>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仿宋" w:hAnsi="仿宋" w:eastAsia="仿宋" w:cs="仿宋"/>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核心一级资本充足率（%）</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17.47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17.81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18.99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21.04 </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23.68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一级资本充足率（%）</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17.47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17.81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18.99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21.04 </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23.68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资本充足率（%）</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18.58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18.88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20.09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22.07 </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24.69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049" w:type="dxa"/>
            <w:gridSpan w:val="2"/>
            <w:tcBorders>
              <w:top w:val="single" w:color="auto" w:sz="4" w:space="0"/>
              <w:bottom w:val="single" w:color="auto" w:sz="4" w:space="0"/>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其他各级资本要求</w:t>
            </w:r>
          </w:p>
        </w:tc>
        <w:tc>
          <w:tcPr>
            <w:tcW w:w="1531" w:type="dxa"/>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spacing w:line="400" w:lineRule="exact"/>
              <w:jc w:val="right"/>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spacing w:line="400" w:lineRule="exact"/>
              <w:jc w:val="right"/>
              <w:textAlignment w:val="center"/>
              <w:rPr>
                <w:rFonts w:hint="eastAsia" w:ascii="仿宋" w:hAnsi="仿宋" w:eastAsia="仿宋" w:cs="仿宋"/>
                <w:b/>
                <w:bCs/>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spacing w:line="400" w:lineRule="exact"/>
              <w:jc w:val="right"/>
              <w:textAlignment w:val="center"/>
              <w:rPr>
                <w:rFonts w:hint="eastAsia" w:ascii="仿宋" w:hAnsi="仿宋" w:eastAsia="仿宋" w:cs="仿宋"/>
                <w:b/>
                <w:bCs/>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仿宋" w:hAnsi="仿宋" w:eastAsia="仿宋" w:cs="仿宋"/>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储备资本要求（%）</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2.50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2.50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2.50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2.50 </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逆周期资本要求（%）</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0.00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0.00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0.00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0.00 </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全球系统重要性银行或国内系统重要性银行附加资本要求（%）</w:t>
            </w:r>
          </w:p>
        </w:tc>
        <w:tc>
          <w:tcPr>
            <w:tcW w:w="1531" w:type="dxa"/>
            <w:tcBorders>
              <w:top w:val="single" w:color="auto" w:sz="4" w:space="0"/>
              <w:left w:val="single" w:color="auto" w:sz="4" w:space="0"/>
              <w:bottom w:val="single" w:color="auto" w:sz="4" w:space="0"/>
              <w:right w:val="single" w:color="auto" w:sz="4" w:space="0"/>
            </w:tcBorders>
            <w:shd w:val="clear" w:color="auto" w:fill="7F7F7F" w:themeFill="text1" w:themeFillTint="7F"/>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p>
        </w:tc>
        <w:tc>
          <w:tcPr>
            <w:tcW w:w="1531" w:type="dxa"/>
            <w:tcBorders>
              <w:top w:val="single" w:color="auto" w:sz="4" w:space="0"/>
              <w:left w:val="single" w:color="auto" w:sz="4" w:space="0"/>
              <w:bottom w:val="single" w:color="auto" w:sz="4" w:space="0"/>
              <w:right w:val="single" w:color="auto" w:sz="4" w:space="0"/>
            </w:tcBorders>
            <w:shd w:val="clear" w:color="auto" w:fill="7F7F7F" w:themeFill="text1" w:themeFillTint="7F"/>
            <w:vAlign w:val="center"/>
          </w:tcPr>
          <w:p>
            <w:pPr>
              <w:spacing w:line="400" w:lineRule="exact"/>
              <w:jc w:val="right"/>
              <w:textAlignment w:val="center"/>
              <w:rPr>
                <w:rFonts w:hint="eastAsia" w:ascii="仿宋" w:hAnsi="仿宋" w:eastAsia="仿宋" w:cs="仿宋"/>
                <w:i w:val="0"/>
                <w:iCs w:val="0"/>
                <w:color w:val="000000"/>
                <w:kern w:val="0"/>
                <w:sz w:val="24"/>
                <w:szCs w:val="24"/>
                <w:u w:val="none"/>
                <w:lang w:bidi="ar"/>
              </w:rPr>
            </w:pPr>
          </w:p>
        </w:tc>
        <w:tc>
          <w:tcPr>
            <w:tcW w:w="1531" w:type="dxa"/>
            <w:tcBorders>
              <w:top w:val="single" w:color="auto" w:sz="4" w:space="0"/>
              <w:left w:val="single" w:color="auto" w:sz="4" w:space="0"/>
              <w:bottom w:val="single" w:color="auto" w:sz="4" w:space="0"/>
              <w:right w:val="single" w:color="auto" w:sz="4" w:space="0"/>
            </w:tcBorders>
            <w:shd w:val="clear" w:color="auto" w:fill="7F7F7F" w:themeFill="text1" w:themeFillTint="7F"/>
            <w:vAlign w:val="center"/>
          </w:tcPr>
          <w:p>
            <w:pPr>
              <w:spacing w:line="400" w:lineRule="exact"/>
              <w:jc w:val="right"/>
              <w:textAlignment w:val="center"/>
              <w:rPr>
                <w:rFonts w:hint="eastAsia" w:ascii="仿宋" w:hAnsi="仿宋" w:eastAsia="仿宋" w:cs="仿宋"/>
                <w:i w:val="0"/>
                <w:iCs w:val="0"/>
                <w:color w:val="000000"/>
                <w:sz w:val="24"/>
                <w:szCs w:val="24"/>
                <w:u w:val="none"/>
              </w:rPr>
            </w:pPr>
          </w:p>
        </w:tc>
        <w:tc>
          <w:tcPr>
            <w:tcW w:w="1531" w:type="dxa"/>
            <w:tcBorders>
              <w:top w:val="single" w:color="auto" w:sz="4" w:space="0"/>
              <w:left w:val="single" w:color="auto" w:sz="4" w:space="0"/>
              <w:bottom w:val="single" w:color="auto" w:sz="4" w:space="0"/>
              <w:right w:val="single" w:color="auto" w:sz="4" w:space="0"/>
            </w:tcBorders>
            <w:shd w:val="clear" w:color="auto" w:fill="7F7F7F" w:themeFill="text1" w:themeFillTint="7F"/>
            <w:vAlign w:val="center"/>
          </w:tcPr>
          <w:p>
            <w:pPr>
              <w:spacing w:line="400" w:lineRule="exact"/>
              <w:jc w:val="right"/>
              <w:textAlignment w:val="center"/>
              <w:rPr>
                <w:rFonts w:hint="eastAsia" w:ascii="仿宋" w:hAnsi="仿宋" w:eastAsia="仿宋" w:cs="仿宋"/>
                <w:i w:val="0"/>
                <w:iCs w:val="0"/>
                <w:color w:val="000000"/>
                <w:sz w:val="24"/>
                <w:szCs w:val="24"/>
                <w:u w:val="none"/>
              </w:rPr>
            </w:pPr>
          </w:p>
        </w:tc>
        <w:tc>
          <w:tcPr>
            <w:tcW w:w="1531" w:type="dxa"/>
            <w:tcBorders>
              <w:top w:val="single" w:color="auto" w:sz="4" w:space="0"/>
              <w:left w:val="single" w:color="auto" w:sz="4" w:space="0"/>
              <w:bottom w:val="single" w:color="auto" w:sz="4" w:space="0"/>
            </w:tcBorders>
            <w:shd w:val="clear" w:color="auto" w:fill="7F7F7F" w:themeFill="text1" w:themeFillTint="7F"/>
            <w:vAlign w:val="center"/>
          </w:tcPr>
          <w:p>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其他各级资本要求（%）（8+9+10）</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2.50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2.50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2.50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2.50 </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满足最低资本要求后的可用核心一级资本净额占风险加权资产的比例（%）</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10.58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10.88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12.09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14.07 </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16.69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049" w:type="dxa"/>
            <w:gridSpan w:val="2"/>
            <w:tcBorders>
              <w:top w:val="single" w:color="auto" w:sz="4" w:space="0"/>
              <w:bottom w:val="single" w:color="auto" w:sz="4" w:space="0"/>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杠杆率</w:t>
            </w:r>
          </w:p>
        </w:tc>
        <w:tc>
          <w:tcPr>
            <w:tcW w:w="1531" w:type="dxa"/>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spacing w:line="400" w:lineRule="exact"/>
              <w:jc w:val="right"/>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spacing w:line="400" w:lineRule="exact"/>
              <w:jc w:val="right"/>
              <w:textAlignment w:val="center"/>
              <w:rPr>
                <w:rFonts w:hint="eastAsia" w:ascii="仿宋" w:hAnsi="仿宋" w:eastAsia="仿宋" w:cs="仿宋"/>
                <w:b/>
                <w:bCs/>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spacing w:line="400" w:lineRule="exact"/>
              <w:jc w:val="right"/>
              <w:textAlignment w:val="center"/>
              <w:rPr>
                <w:rFonts w:hint="eastAsia" w:ascii="仿宋" w:hAnsi="仿宋" w:eastAsia="仿宋" w:cs="仿宋"/>
                <w:b/>
                <w:bCs/>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仿宋" w:hAnsi="仿宋" w:eastAsia="仿宋" w:cs="仿宋"/>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调整后表内外资产余额</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28,959,821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26,208,165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24,441,249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22,770,719 </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22,033,264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杠杆率（%）</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10.89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11.78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12.79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13.52 </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14.15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14a</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杠杆率a（%）</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10.89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11.78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12.79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13.52 </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14.15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049" w:type="dxa"/>
            <w:gridSpan w:val="2"/>
            <w:tcBorders>
              <w:top w:val="single" w:color="auto" w:sz="4" w:space="0"/>
              <w:bottom w:val="single" w:color="auto" w:sz="4" w:space="0"/>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流动性覆盖率</w:t>
            </w:r>
          </w:p>
        </w:tc>
        <w:tc>
          <w:tcPr>
            <w:tcW w:w="1531" w:type="dxa"/>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spacing w:line="400" w:lineRule="exact"/>
              <w:jc w:val="right"/>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spacing w:line="400" w:lineRule="exact"/>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spacing w:line="400" w:lineRule="exact"/>
              <w:jc w:val="right"/>
              <w:textAlignment w:val="center"/>
              <w:rPr>
                <w:rFonts w:hint="eastAsia" w:ascii="仿宋" w:hAnsi="仿宋" w:eastAsia="仿宋" w:cs="仿宋"/>
                <w:b/>
                <w:bCs/>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仿宋" w:hAnsi="仿宋" w:eastAsia="仿宋" w:cs="仿宋"/>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合格优质流动性资产</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现金净流出量</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流动性覆盖率（%）</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049" w:type="dxa"/>
            <w:gridSpan w:val="2"/>
            <w:tcBorders>
              <w:top w:val="single" w:color="auto" w:sz="4" w:space="0"/>
              <w:bottom w:val="single" w:color="auto" w:sz="4" w:space="0"/>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净稳定资金比例</w:t>
            </w:r>
          </w:p>
        </w:tc>
        <w:tc>
          <w:tcPr>
            <w:tcW w:w="1531" w:type="dxa"/>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spacing w:line="400" w:lineRule="exact"/>
              <w:jc w:val="right"/>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spacing w:line="400" w:lineRule="exact"/>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spacing w:line="400" w:lineRule="exact"/>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仿宋" w:hAnsi="仿宋" w:eastAsia="仿宋" w:cs="仿宋"/>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可用稳定资金合计</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所需稳定资金合计</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净稳定资金比例（%）</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049" w:type="dxa"/>
            <w:gridSpan w:val="2"/>
            <w:tcBorders>
              <w:top w:val="single" w:color="auto" w:sz="4" w:space="0"/>
              <w:bottom w:val="single" w:color="auto" w:sz="4" w:space="0"/>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流动性比例</w:t>
            </w:r>
          </w:p>
        </w:tc>
        <w:tc>
          <w:tcPr>
            <w:tcW w:w="1531" w:type="dxa"/>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spacing w:line="400" w:lineRule="exact"/>
              <w:jc w:val="right"/>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spacing w:line="400" w:lineRule="exact"/>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spacing w:line="400" w:lineRule="exact"/>
              <w:jc w:val="right"/>
              <w:textAlignment w:val="center"/>
              <w:rPr>
                <w:rFonts w:hint="eastAsia" w:ascii="仿宋" w:hAnsi="仿宋" w:eastAsia="仿宋" w:cs="仿宋"/>
                <w:b/>
                <w:bCs/>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仿宋" w:hAnsi="仿宋" w:eastAsia="仿宋" w:cs="仿宋"/>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流动性比例（%）</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81.30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72.02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82.35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89.75 </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79.06 </w:t>
            </w:r>
          </w:p>
        </w:tc>
      </w:tr>
    </w:tbl>
    <w:p>
      <w:pPr>
        <w:rPr>
          <w:rFonts w:hint="default" w:ascii="黑体" w:hAnsi="黑体" w:eastAsia="黑体" w:cs="黑体"/>
          <w:sz w:val="28"/>
          <w:szCs w:val="28"/>
          <w:lang w:val="en-US" w:eastAsia="zh-CN"/>
        </w:rPr>
      </w:pPr>
    </w:p>
    <w:p>
      <w:pPr>
        <w:ind w:firstLine="560" w:firstLineChars="200"/>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附表</w:t>
      </w:r>
      <w:r>
        <w:rPr>
          <w:rFonts w:hint="default" w:ascii="黑体" w:hAnsi="黑体" w:eastAsia="黑体" w:cs="黑体"/>
          <w:sz w:val="28"/>
          <w:szCs w:val="28"/>
          <w:lang w:val="en-US" w:eastAsia="zh-CN"/>
        </w:rPr>
        <w:t>2</w:t>
      </w:r>
      <w:r>
        <w:rPr>
          <w:rFonts w:hint="eastAsia" w:ascii="黑体" w:hAnsi="黑体" w:eastAsia="黑体" w:cs="黑体"/>
          <w:sz w:val="28"/>
          <w:szCs w:val="28"/>
          <w:lang w:val="en-US" w:eastAsia="zh-CN"/>
        </w:rPr>
        <w:t>：</w:t>
      </w:r>
      <w:r>
        <w:rPr>
          <w:rFonts w:hint="default" w:ascii="黑体" w:hAnsi="黑体" w:eastAsia="黑体" w:cs="黑体"/>
          <w:sz w:val="28"/>
          <w:szCs w:val="28"/>
          <w:lang w:val="en-US" w:eastAsia="zh-CN"/>
        </w:rPr>
        <w:t>CC1资本构成</w:t>
      </w:r>
    </w:p>
    <w:p>
      <w:pPr>
        <w:ind w:firstLine="560" w:firstLineChars="200"/>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单位：人民币千元</w:t>
      </w:r>
    </w:p>
    <w:tbl>
      <w:tblPr>
        <w:tblStyle w:val="5"/>
        <w:tblW w:w="520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67"/>
        <w:gridCol w:w="5279"/>
        <w:gridCol w:w="1742"/>
        <w:gridCol w:w="108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404" w:type="pct"/>
            <w:gridSpan w:val="2"/>
            <w:vMerge w:val="restart"/>
            <w:shd w:val="clear" w:color="auto" w:fill="auto"/>
            <w:vAlign w:val="center"/>
          </w:tcPr>
          <w:p>
            <w:pPr>
              <w:jc w:val="center"/>
              <w:rPr>
                <w:rFonts w:hint="eastAsia" w:ascii="仿宋" w:hAnsi="仿宋" w:eastAsia="仿宋" w:cs="仿宋"/>
                <w:i w:val="0"/>
                <w:iCs w:val="0"/>
                <w:color w:val="000000"/>
                <w:sz w:val="24"/>
                <w:szCs w:val="24"/>
                <w:u w:val="none"/>
              </w:rPr>
            </w:pPr>
          </w:p>
        </w:tc>
        <w:tc>
          <w:tcPr>
            <w:tcW w:w="981" w:type="pct"/>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a</w:t>
            </w:r>
          </w:p>
        </w:tc>
        <w:tc>
          <w:tcPr>
            <w:tcW w:w="613" w:type="pct"/>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b</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404" w:type="pct"/>
            <w:gridSpan w:val="2"/>
            <w:vMerge w:val="continue"/>
            <w:shd w:val="clear" w:color="auto" w:fill="auto"/>
            <w:vAlign w:val="center"/>
          </w:tcPr>
          <w:p>
            <w:pPr>
              <w:jc w:val="center"/>
              <w:rPr>
                <w:rFonts w:hint="eastAsia" w:ascii="仿宋" w:hAnsi="仿宋" w:eastAsia="仿宋" w:cs="仿宋"/>
                <w:i w:val="0"/>
                <w:iCs w:val="0"/>
                <w:color w:val="000000"/>
                <w:sz w:val="24"/>
                <w:szCs w:val="24"/>
                <w:u w:val="none"/>
              </w:rPr>
            </w:pPr>
          </w:p>
        </w:tc>
        <w:tc>
          <w:tcPr>
            <w:tcW w:w="981" w:type="pct"/>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数额</w:t>
            </w:r>
          </w:p>
        </w:tc>
        <w:tc>
          <w:tcPr>
            <w:tcW w:w="613" w:type="pct"/>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代码</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404" w:type="pct"/>
            <w:gridSpan w:val="2"/>
            <w:tcBorders>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核心一级资本</w:t>
            </w:r>
          </w:p>
        </w:tc>
        <w:tc>
          <w:tcPr>
            <w:tcW w:w="981" w:type="pct"/>
            <w:tcBorders>
              <w:left w:val="nil"/>
              <w:right w:val="nil"/>
            </w:tcBorders>
            <w:shd w:val="clear" w:color="auto" w:fill="auto"/>
            <w:vAlign w:val="center"/>
          </w:tcPr>
          <w:p>
            <w:pPr>
              <w:rPr>
                <w:rFonts w:hint="eastAsia" w:ascii="仿宋" w:hAnsi="仿宋" w:eastAsia="仿宋" w:cs="仿宋"/>
                <w:b/>
                <w:bCs/>
                <w:i w:val="0"/>
                <w:iCs w:val="0"/>
                <w:color w:val="000000"/>
                <w:sz w:val="24"/>
                <w:szCs w:val="24"/>
                <w:u w:val="none"/>
              </w:rPr>
            </w:pPr>
          </w:p>
        </w:tc>
        <w:tc>
          <w:tcPr>
            <w:tcW w:w="613" w:type="pct"/>
            <w:tcBorders>
              <w:left w:val="nil"/>
            </w:tcBorders>
            <w:shd w:val="clear" w:color="auto" w:fill="auto"/>
            <w:vAlign w:val="center"/>
          </w:tcPr>
          <w:p>
            <w:pPr>
              <w:rPr>
                <w:rFonts w:hint="eastAsia" w:ascii="仿宋" w:hAnsi="仿宋" w:eastAsia="仿宋" w:cs="仿宋"/>
                <w:b/>
                <w:bCs/>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实收资本和资本公积可计入部分</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3,130,268 </w:t>
            </w:r>
          </w:p>
        </w:tc>
        <w:tc>
          <w:tcPr>
            <w:tcW w:w="613"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e+g</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留存收益</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109,367 </w:t>
            </w:r>
          </w:p>
        </w:tc>
        <w:tc>
          <w:tcPr>
            <w:tcW w:w="613"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h+i+j</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2a</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盈余公积</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1,617 </w:t>
            </w:r>
          </w:p>
        </w:tc>
        <w:tc>
          <w:tcPr>
            <w:tcW w:w="613"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2b</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一般风险准备</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23,502 </w:t>
            </w:r>
          </w:p>
        </w:tc>
        <w:tc>
          <w:tcPr>
            <w:tcW w:w="613"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i</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2c</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未分配利润</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84,249 </w:t>
            </w:r>
          </w:p>
        </w:tc>
        <w:tc>
          <w:tcPr>
            <w:tcW w:w="613"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累计其他综合收益</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-34,871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少数股东资本可计入部分</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扣除前的核心一级资本</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3,204,764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404" w:type="pct"/>
            <w:gridSpan w:val="2"/>
            <w:tcBorders>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核心一级资本：扣除项</w:t>
            </w:r>
            <w:r>
              <w:rPr>
                <w:rFonts w:hint="eastAsia" w:ascii="仿宋" w:hAnsi="仿宋" w:eastAsia="仿宋" w:cs="仿宋"/>
                <w:i w:val="0"/>
                <w:iCs w:val="0"/>
                <w:color w:val="000000"/>
                <w:kern w:val="0"/>
                <w:sz w:val="24"/>
                <w:szCs w:val="24"/>
                <w:u w:val="none"/>
                <w:lang w:val="en-US" w:eastAsia="zh-CN" w:bidi="ar"/>
              </w:rPr>
              <w:t>　</w:t>
            </w:r>
          </w:p>
        </w:tc>
        <w:tc>
          <w:tcPr>
            <w:tcW w:w="1742" w:type="dxa"/>
            <w:tcBorders>
              <w:left w:val="nil"/>
              <w:right w:val="nil"/>
            </w:tcBorders>
            <w:shd w:val="clear" w:color="auto" w:fill="auto"/>
            <w:vAlign w:val="center"/>
          </w:tcPr>
          <w:p>
            <w:pPr>
              <w:rPr>
                <w:rFonts w:hint="eastAsia" w:ascii="仿宋" w:hAnsi="仿宋" w:eastAsia="仿宋" w:cs="仿宋"/>
                <w:b/>
                <w:bCs/>
                <w:i w:val="0"/>
                <w:iCs w:val="0"/>
                <w:color w:val="000000"/>
                <w:sz w:val="24"/>
                <w:szCs w:val="24"/>
                <w:u w:val="none"/>
              </w:rPr>
            </w:pPr>
          </w:p>
        </w:tc>
        <w:tc>
          <w:tcPr>
            <w:tcW w:w="613" w:type="pct"/>
            <w:tcBorders>
              <w:left w:val="nil"/>
            </w:tcBorders>
            <w:shd w:val="clear" w:color="auto" w:fill="auto"/>
            <w:vAlign w:val="center"/>
          </w:tcPr>
          <w:p>
            <w:pPr>
              <w:rPr>
                <w:rFonts w:hint="eastAsia" w:ascii="仿宋" w:hAnsi="仿宋" w:eastAsia="仿宋" w:cs="仿宋"/>
                <w:b/>
                <w:bCs/>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审慎估值调整</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商誉（扣除递延税负债）</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 </w:t>
            </w:r>
          </w:p>
        </w:tc>
        <w:tc>
          <w:tcPr>
            <w:tcW w:w="613"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a-c</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其他无形资产（土地使用权除外）（扣除递延税负债）</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50,499 </w:t>
            </w:r>
          </w:p>
        </w:tc>
        <w:tc>
          <w:tcPr>
            <w:tcW w:w="613"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b-d</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依赖未来盈利的由经营亏损引起的净递延税资产</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对未按公允价值计量的项目进行套期形成的现金流储备</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损失准备缺口</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资产证券化销售利得</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自身信用风险变化导致其负债公允价值变化带来的未实现损益</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确定受益类的养老金资产净额（扣除递延税负债）</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直接或间接持有本银行的股票</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银行间或银行与其他金融机构间通过协议相互持有的核心一级资本</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对未并表金融机构小额少数资本投资中的核心一级资本中应扣除金额</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对未并表金融机构大额少数资本投资中的核心一级资本中应扣除金额</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其他依赖于银行未来盈利的净递延税资产中应扣除金额</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对未并表金融机构大额少数资本投资中的核心一级资本和其他依赖于银行未来盈利的净递延税资产的未扣除部分超过核心一级资本15%的应扣除金额</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其中：应在对金融机构大额少数资本投资中扣除的金额</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其中：应在其他依赖于银行未来盈利的净递延税资产中扣除的金额</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其他应在核心一级资本中扣除的项目合计</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应从其他一级资本和二级资本中扣除的未扣缺口</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核心一级资本扣除项总和</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50,499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核心一级资本净额</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3,154,265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404" w:type="pct"/>
            <w:gridSpan w:val="2"/>
            <w:tcBorders>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其他一级资本</w:t>
            </w:r>
          </w:p>
        </w:tc>
        <w:tc>
          <w:tcPr>
            <w:tcW w:w="1742" w:type="dxa"/>
            <w:tcBorders>
              <w:left w:val="nil"/>
              <w:right w:val="nil"/>
            </w:tcBorders>
            <w:shd w:val="clear" w:color="auto" w:fill="auto"/>
            <w:vAlign w:val="center"/>
          </w:tcPr>
          <w:p>
            <w:pPr>
              <w:rPr>
                <w:rFonts w:hint="eastAsia" w:ascii="仿宋" w:hAnsi="仿宋" w:eastAsia="仿宋" w:cs="仿宋"/>
                <w:b/>
                <w:bCs/>
                <w:i w:val="0"/>
                <w:iCs w:val="0"/>
                <w:color w:val="000000"/>
                <w:sz w:val="24"/>
                <w:szCs w:val="24"/>
                <w:u w:val="none"/>
              </w:rPr>
            </w:pPr>
          </w:p>
        </w:tc>
        <w:tc>
          <w:tcPr>
            <w:tcW w:w="613" w:type="pct"/>
            <w:tcBorders>
              <w:left w:val="nil"/>
            </w:tcBorders>
            <w:shd w:val="clear" w:color="auto" w:fill="auto"/>
            <w:vAlign w:val="center"/>
          </w:tcPr>
          <w:p>
            <w:pPr>
              <w:rPr>
                <w:rFonts w:hint="eastAsia" w:ascii="仿宋" w:hAnsi="仿宋" w:eastAsia="仿宋" w:cs="仿宋"/>
                <w:b/>
                <w:bCs/>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其他一级资本工具及其溢价</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其中：权益部分</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其中：负债部分</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少数股东资本可计入部分</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扣除前的其他一级资本</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404" w:type="pct"/>
            <w:gridSpan w:val="2"/>
            <w:tcBorders>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其他一级资本:扣除项</w:t>
            </w:r>
          </w:p>
        </w:tc>
        <w:tc>
          <w:tcPr>
            <w:tcW w:w="1742" w:type="dxa"/>
            <w:tcBorders>
              <w:left w:val="nil"/>
              <w:right w:val="nil"/>
            </w:tcBorders>
            <w:shd w:val="clear" w:color="auto" w:fill="auto"/>
            <w:vAlign w:val="center"/>
          </w:tcPr>
          <w:p>
            <w:pPr>
              <w:rPr>
                <w:rFonts w:hint="eastAsia" w:ascii="仿宋" w:hAnsi="仿宋" w:eastAsia="仿宋" w:cs="仿宋"/>
                <w:b/>
                <w:bCs/>
                <w:i w:val="0"/>
                <w:iCs w:val="0"/>
                <w:color w:val="000000"/>
                <w:sz w:val="24"/>
                <w:szCs w:val="24"/>
                <w:u w:val="none"/>
              </w:rPr>
            </w:pPr>
          </w:p>
        </w:tc>
        <w:tc>
          <w:tcPr>
            <w:tcW w:w="613" w:type="pct"/>
            <w:tcBorders>
              <w:left w:val="nil"/>
            </w:tcBorders>
            <w:shd w:val="clear" w:color="auto" w:fill="auto"/>
            <w:vAlign w:val="center"/>
          </w:tcPr>
          <w:p>
            <w:pPr>
              <w:rPr>
                <w:rFonts w:hint="eastAsia" w:ascii="仿宋" w:hAnsi="仿宋" w:eastAsia="仿宋" w:cs="仿宋"/>
                <w:b/>
                <w:bCs/>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直接或间接持有的本银行其他一级资本</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银行间或银行与其他金融机构间通过协议相互持有的其他一级资本</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对未并表金融机构小额少数资本投资中的其他一级资本中应扣除金额</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对未并表金融机构大额少数资本投资中的其他一级资本中应扣除金额</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其他应在其他一级资本中扣除的项目合计</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应从二级资本中扣除的未扣缺口</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其他一级资本扣除项总和</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其他一级资本净额</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一级资本净额</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3,154,265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404" w:type="pct"/>
            <w:gridSpan w:val="2"/>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二级资本</w:t>
            </w:r>
          </w:p>
        </w:tc>
        <w:tc>
          <w:tcPr>
            <w:tcW w:w="1742" w:type="dxa"/>
            <w:shd w:val="clear" w:color="auto" w:fill="auto"/>
            <w:vAlign w:val="center"/>
          </w:tcPr>
          <w:p>
            <w:pPr>
              <w:rPr>
                <w:rFonts w:hint="eastAsia" w:ascii="仿宋" w:hAnsi="仿宋" w:eastAsia="仿宋" w:cs="仿宋"/>
                <w:b/>
                <w:bCs/>
                <w:i w:val="0"/>
                <w:iCs w:val="0"/>
                <w:color w:val="000000"/>
                <w:sz w:val="24"/>
                <w:szCs w:val="24"/>
                <w:u w:val="none"/>
              </w:rPr>
            </w:pPr>
          </w:p>
        </w:tc>
        <w:tc>
          <w:tcPr>
            <w:tcW w:w="613" w:type="pct"/>
            <w:shd w:val="clear" w:color="auto" w:fill="auto"/>
            <w:vAlign w:val="center"/>
          </w:tcPr>
          <w:p>
            <w:pPr>
              <w:rPr>
                <w:rFonts w:hint="eastAsia" w:ascii="仿宋" w:hAnsi="仿宋" w:eastAsia="仿宋" w:cs="仿宋"/>
                <w:b/>
                <w:bCs/>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二级资本工具及其溢价</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少数股东资本可计入部分</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超额损失准备可计入部分</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199,764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扣除前的二级资本</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199,764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404" w:type="pct"/>
            <w:gridSpan w:val="2"/>
            <w:tcBorders>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二级资本：扣除项</w:t>
            </w:r>
          </w:p>
        </w:tc>
        <w:tc>
          <w:tcPr>
            <w:tcW w:w="1742" w:type="dxa"/>
            <w:tcBorders>
              <w:left w:val="nil"/>
              <w:right w:val="nil"/>
            </w:tcBorders>
            <w:shd w:val="clear" w:color="auto" w:fill="auto"/>
            <w:vAlign w:val="center"/>
          </w:tcPr>
          <w:p>
            <w:pPr>
              <w:rPr>
                <w:rFonts w:hint="eastAsia" w:ascii="仿宋" w:hAnsi="仿宋" w:eastAsia="仿宋" w:cs="仿宋"/>
                <w:b/>
                <w:bCs/>
                <w:i w:val="0"/>
                <w:iCs w:val="0"/>
                <w:color w:val="000000"/>
                <w:sz w:val="24"/>
                <w:szCs w:val="24"/>
                <w:u w:val="none"/>
              </w:rPr>
            </w:pPr>
          </w:p>
        </w:tc>
        <w:tc>
          <w:tcPr>
            <w:tcW w:w="613" w:type="pct"/>
            <w:tcBorders>
              <w:left w:val="nil"/>
            </w:tcBorders>
            <w:shd w:val="clear" w:color="auto" w:fill="auto"/>
            <w:vAlign w:val="center"/>
          </w:tcPr>
          <w:p>
            <w:pPr>
              <w:rPr>
                <w:rFonts w:hint="eastAsia" w:ascii="仿宋" w:hAnsi="仿宋" w:eastAsia="仿宋" w:cs="仿宋"/>
                <w:b/>
                <w:bCs/>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直接或间接持有的本银行的二级资本</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银行间或银行与其他金融机构间通过协议相互持有的其他一级资本</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对未并表金融机构小额少数资本投资中的二级资本中应扣除金额</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对未并表金融机构大额少数资本投资中的二级资本</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其他应在二级资本中扣除的项目合计</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二级资本扣除项总和</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二级资本净额</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199,764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总资本净额</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3,354,028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风险加权资产</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18,052,218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404" w:type="pct"/>
            <w:gridSpan w:val="2"/>
            <w:tcBorders>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资本充足率和其他各级资本要求</w:t>
            </w:r>
          </w:p>
        </w:tc>
        <w:tc>
          <w:tcPr>
            <w:tcW w:w="1742" w:type="dxa"/>
            <w:tcBorders>
              <w:left w:val="nil"/>
              <w:right w:val="nil"/>
            </w:tcBorders>
            <w:shd w:val="clear" w:color="auto" w:fill="auto"/>
            <w:vAlign w:val="center"/>
          </w:tcPr>
          <w:p>
            <w:pPr>
              <w:rPr>
                <w:rFonts w:hint="eastAsia" w:ascii="仿宋" w:hAnsi="仿宋" w:eastAsia="仿宋" w:cs="仿宋"/>
                <w:b/>
                <w:bCs/>
                <w:i w:val="0"/>
                <w:iCs w:val="0"/>
                <w:color w:val="000000"/>
                <w:sz w:val="24"/>
                <w:szCs w:val="24"/>
                <w:u w:val="none"/>
              </w:rPr>
            </w:pPr>
          </w:p>
        </w:tc>
        <w:tc>
          <w:tcPr>
            <w:tcW w:w="613" w:type="pct"/>
            <w:tcBorders>
              <w:left w:val="nil"/>
            </w:tcBorders>
            <w:shd w:val="clear" w:color="auto" w:fill="auto"/>
            <w:vAlign w:val="center"/>
          </w:tcPr>
          <w:p>
            <w:pPr>
              <w:rPr>
                <w:rFonts w:hint="eastAsia" w:ascii="仿宋" w:hAnsi="仿宋" w:eastAsia="仿宋" w:cs="仿宋"/>
                <w:b/>
                <w:bCs/>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核心一级资本充足率（%）</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17.47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一级资本充足率（%）</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17.47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资本充足率（%）</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18.58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其他各级资本要求（%）</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2.50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其中：储备资本要求</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2.50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其中：逆周期资本要求</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0.00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其中：全球系统重要性银行或国内系统重要性银行附加资本要求</w:t>
            </w:r>
          </w:p>
        </w:tc>
        <w:tc>
          <w:tcPr>
            <w:tcW w:w="1742" w:type="dxa"/>
            <w:shd w:val="clear" w:color="auto" w:fill="808080"/>
            <w:vAlign w:val="center"/>
          </w:tcPr>
          <w:p>
            <w:pPr>
              <w:rPr>
                <w:rFonts w:hint="eastAsia" w:ascii="仿宋" w:hAnsi="仿宋" w:eastAsia="仿宋" w:cs="仿宋"/>
                <w:i w:val="0"/>
                <w:iCs w:val="0"/>
                <w:color w:val="000000"/>
                <w:sz w:val="24"/>
                <w:szCs w:val="24"/>
                <w:u w:val="none"/>
              </w:rPr>
            </w:pP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满足最低资本要求后的可用核心一级资本净额占风险加权资产的比例（%）</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10.58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404" w:type="pct"/>
            <w:gridSpan w:val="2"/>
            <w:tcBorders>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我国最低监管资本要求</w:t>
            </w:r>
          </w:p>
        </w:tc>
        <w:tc>
          <w:tcPr>
            <w:tcW w:w="1742" w:type="dxa"/>
            <w:tcBorders>
              <w:left w:val="nil"/>
              <w:right w:val="nil"/>
            </w:tcBorders>
            <w:shd w:val="clear" w:color="auto" w:fill="auto"/>
            <w:vAlign w:val="center"/>
          </w:tcPr>
          <w:p>
            <w:pPr>
              <w:rPr>
                <w:rFonts w:hint="eastAsia" w:ascii="仿宋" w:hAnsi="仿宋" w:eastAsia="仿宋" w:cs="仿宋"/>
                <w:b/>
                <w:bCs/>
                <w:i w:val="0"/>
                <w:iCs w:val="0"/>
                <w:color w:val="000000"/>
                <w:sz w:val="24"/>
                <w:szCs w:val="24"/>
                <w:u w:val="none"/>
              </w:rPr>
            </w:pPr>
          </w:p>
        </w:tc>
        <w:tc>
          <w:tcPr>
            <w:tcW w:w="613" w:type="pct"/>
            <w:tcBorders>
              <w:left w:val="nil"/>
            </w:tcBorders>
            <w:shd w:val="clear" w:color="auto" w:fill="auto"/>
            <w:vAlign w:val="center"/>
          </w:tcPr>
          <w:p>
            <w:pPr>
              <w:rPr>
                <w:rFonts w:hint="eastAsia" w:ascii="仿宋" w:hAnsi="仿宋" w:eastAsia="仿宋" w:cs="仿宋"/>
                <w:b/>
                <w:bCs/>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核心一级资本充足率</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5.00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一级资本充足率</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6.00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资本充足率</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8.00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404" w:type="pct"/>
            <w:gridSpan w:val="2"/>
            <w:tcBorders>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门槛扣除项中未扣除部分</w:t>
            </w:r>
          </w:p>
        </w:tc>
        <w:tc>
          <w:tcPr>
            <w:tcW w:w="1742" w:type="dxa"/>
            <w:tcBorders>
              <w:left w:val="nil"/>
              <w:right w:val="nil"/>
            </w:tcBorders>
            <w:shd w:val="clear" w:color="auto" w:fill="auto"/>
            <w:vAlign w:val="center"/>
          </w:tcPr>
          <w:p>
            <w:pPr>
              <w:rPr>
                <w:rFonts w:hint="eastAsia" w:ascii="仿宋" w:hAnsi="仿宋" w:eastAsia="仿宋" w:cs="仿宋"/>
                <w:b/>
                <w:bCs/>
                <w:i w:val="0"/>
                <w:iCs w:val="0"/>
                <w:color w:val="000000"/>
                <w:sz w:val="24"/>
                <w:szCs w:val="24"/>
                <w:u w:val="none"/>
              </w:rPr>
            </w:pPr>
          </w:p>
        </w:tc>
        <w:tc>
          <w:tcPr>
            <w:tcW w:w="613" w:type="pct"/>
            <w:tcBorders>
              <w:left w:val="nil"/>
            </w:tcBorders>
            <w:shd w:val="clear" w:color="auto" w:fill="auto"/>
            <w:vAlign w:val="center"/>
          </w:tcPr>
          <w:p>
            <w:pPr>
              <w:rPr>
                <w:rFonts w:hint="eastAsia" w:ascii="仿宋" w:hAnsi="仿宋" w:eastAsia="仿宋" w:cs="仿宋"/>
                <w:b/>
                <w:bCs/>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对未并表金融机构的小额少数资本投资中未扣除部分</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对未并表金融机构的大额少数资本投资中未扣除部分</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其他依赖于银行未来盈利的净递延税资产（扣除递延税负债）</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404" w:type="pct"/>
            <w:gridSpan w:val="2"/>
            <w:tcBorders>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可计入二级资本的超额损失准备的限额</w:t>
            </w:r>
          </w:p>
        </w:tc>
        <w:tc>
          <w:tcPr>
            <w:tcW w:w="1742" w:type="dxa"/>
            <w:tcBorders>
              <w:left w:val="nil"/>
              <w:right w:val="nil"/>
            </w:tcBorders>
            <w:shd w:val="clear" w:color="auto" w:fill="auto"/>
            <w:vAlign w:val="center"/>
          </w:tcPr>
          <w:p>
            <w:pPr>
              <w:rPr>
                <w:rFonts w:hint="eastAsia" w:ascii="仿宋" w:hAnsi="仿宋" w:eastAsia="仿宋" w:cs="仿宋"/>
                <w:b/>
                <w:bCs/>
                <w:i w:val="0"/>
                <w:iCs w:val="0"/>
                <w:color w:val="000000"/>
                <w:sz w:val="24"/>
                <w:szCs w:val="24"/>
                <w:u w:val="none"/>
              </w:rPr>
            </w:pPr>
          </w:p>
        </w:tc>
        <w:tc>
          <w:tcPr>
            <w:tcW w:w="613" w:type="pct"/>
            <w:tcBorders>
              <w:left w:val="nil"/>
            </w:tcBorders>
            <w:shd w:val="clear" w:color="auto" w:fill="auto"/>
            <w:vAlign w:val="center"/>
          </w:tcPr>
          <w:p>
            <w:pPr>
              <w:rPr>
                <w:rFonts w:hint="eastAsia" w:ascii="仿宋" w:hAnsi="仿宋" w:eastAsia="仿宋" w:cs="仿宋"/>
                <w:b/>
                <w:bCs/>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权重法下，实际计提的超额损失准备金额</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199,764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2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权重法下，可计入二级资本超额损失准备的数额</w:t>
            </w:r>
          </w:p>
        </w:tc>
        <w:tc>
          <w:tcPr>
            <w:tcW w:w="174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199,764 </w:t>
            </w:r>
          </w:p>
        </w:tc>
        <w:tc>
          <w:tcPr>
            <w:tcW w:w="613" w:type="pct"/>
            <w:shd w:val="clear" w:color="auto" w:fill="auto"/>
            <w:vAlign w:val="center"/>
          </w:tcPr>
          <w:p>
            <w:pPr>
              <w:rPr>
                <w:rFonts w:hint="eastAsia" w:ascii="仿宋" w:hAnsi="仿宋" w:eastAsia="仿宋" w:cs="仿宋"/>
                <w:i w:val="0"/>
                <w:iCs w:val="0"/>
                <w:color w:val="000000"/>
                <w:sz w:val="24"/>
                <w:szCs w:val="24"/>
                <w:u w:val="none"/>
              </w:rPr>
            </w:pPr>
          </w:p>
        </w:tc>
      </w:tr>
    </w:tbl>
    <w:p>
      <w:pPr>
        <w:rPr>
          <w:rFonts w:hint="eastAsia" w:ascii="仿宋" w:hAnsi="仿宋" w:eastAsia="仿宋"/>
          <w:sz w:val="32"/>
          <w:szCs w:val="32"/>
        </w:rPr>
      </w:pPr>
    </w:p>
    <w:p>
      <w:pPr>
        <w:wordWrap w:val="0"/>
        <w:spacing w:line="560" w:lineRule="exact"/>
        <w:ind w:left="-210" w:leftChars="-100" w:right="-420" w:rightChars="-200" w:firstLine="640" w:firstLineChars="200"/>
        <w:jc w:val="right"/>
        <w:rPr>
          <w:rFonts w:hint="eastAsia" w:ascii="仿宋" w:hAnsi="仿宋" w:eastAsia="仿宋"/>
          <w:sz w:val="32"/>
          <w:szCs w:val="32"/>
        </w:rPr>
      </w:pPr>
    </w:p>
    <w:p>
      <w:pPr>
        <w:wordWrap w:val="0"/>
        <w:spacing w:line="560" w:lineRule="exact"/>
        <w:ind w:left="-210" w:leftChars="-100" w:right="-420" w:rightChars="-200" w:firstLine="640" w:firstLineChars="200"/>
        <w:jc w:val="right"/>
        <w:rPr>
          <w:rFonts w:hint="eastAsia" w:ascii="仿宋" w:hAnsi="仿宋" w:eastAsia="仿宋"/>
          <w:sz w:val="32"/>
          <w:szCs w:val="32"/>
        </w:rPr>
      </w:pPr>
    </w:p>
    <w:p>
      <w:pPr>
        <w:wordWrap w:val="0"/>
        <w:spacing w:line="560" w:lineRule="exact"/>
        <w:ind w:left="-210" w:leftChars="-100" w:right="-420" w:rightChars="-200" w:firstLine="640" w:firstLineChars="200"/>
        <w:jc w:val="right"/>
        <w:rPr>
          <w:rFonts w:hint="default" w:ascii="仿宋" w:hAnsi="仿宋" w:eastAsia="仿宋"/>
          <w:sz w:val="32"/>
          <w:szCs w:val="32"/>
          <w:lang w:val="en-US"/>
        </w:rPr>
      </w:pPr>
      <w:r>
        <w:rPr>
          <w:rFonts w:hint="eastAsia" w:ascii="仿宋" w:hAnsi="仿宋" w:eastAsia="仿宋"/>
          <w:sz w:val="32"/>
          <w:szCs w:val="32"/>
        </w:rPr>
        <w:t xml:space="preserve"> </w:t>
      </w:r>
      <w:r>
        <w:rPr>
          <w:rFonts w:hint="default" w:ascii="仿宋" w:hAnsi="仿宋" w:eastAsia="仿宋"/>
          <w:sz w:val="32"/>
          <w:szCs w:val="32"/>
          <w:lang w:val="en-US"/>
        </w:rPr>
        <w:t>2026</w:t>
      </w:r>
      <w:r>
        <w:rPr>
          <w:rFonts w:hint="eastAsia" w:ascii="仿宋" w:hAnsi="仿宋" w:eastAsia="仿宋" w:cs="仿宋_GB2312"/>
          <w:sz w:val="32"/>
          <w:szCs w:val="32"/>
        </w:rPr>
        <w:t>年</w:t>
      </w:r>
      <w:r>
        <w:rPr>
          <w:rFonts w:hint="default" w:ascii="仿宋" w:hAnsi="仿宋" w:eastAsia="仿宋" w:cs="仿宋_GB2312"/>
          <w:sz w:val="32"/>
          <w:szCs w:val="32"/>
          <w:lang w:val="en-US" w:eastAsia="zh-CN"/>
        </w:rPr>
        <w:t>4</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29</w:t>
      </w:r>
      <w:bookmarkStart w:id="0" w:name="_GoBack"/>
      <w:bookmarkEnd w:id="0"/>
      <w:r>
        <w:rPr>
          <w:rFonts w:hint="eastAsia" w:ascii="仿宋" w:hAnsi="仿宋" w:eastAsia="仿宋"/>
          <w:sz w:val="32"/>
          <w:szCs w:val="32"/>
        </w:rPr>
        <w:t>日</w:t>
      </w:r>
      <w:r>
        <w:rPr>
          <w:rFonts w:hint="default" w:ascii="仿宋" w:hAnsi="仿宋" w:eastAsia="仿宋"/>
          <w:sz w:val="32"/>
          <w:szCs w:val="32"/>
          <w:lang w:val="en-US"/>
        </w:rPr>
        <w:t xml:space="preserve"> </w:t>
      </w:r>
    </w:p>
    <w:p>
      <w:pPr>
        <w:rPr>
          <w:rFonts w:hint="default" w:ascii="黑体" w:hAnsi="黑体" w:eastAsia="黑体" w:cs="黑体"/>
          <w:sz w:val="28"/>
          <w:szCs w:val="28"/>
          <w:lang w:val="en-US" w:eastAsia="zh-CN"/>
        </w:rPr>
      </w:pPr>
    </w:p>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长城小标宋体">
    <w:altName w:val="宋体"/>
    <w:panose1 w:val="0201060901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926BF7"/>
    <w:rsid w:val="01892B12"/>
    <w:rsid w:val="03214B7D"/>
    <w:rsid w:val="03A04E31"/>
    <w:rsid w:val="07D74925"/>
    <w:rsid w:val="08926BF7"/>
    <w:rsid w:val="0CC63396"/>
    <w:rsid w:val="12CF7D85"/>
    <w:rsid w:val="195E4F12"/>
    <w:rsid w:val="195F62C1"/>
    <w:rsid w:val="1A394EE0"/>
    <w:rsid w:val="24545DF3"/>
    <w:rsid w:val="24CD1466"/>
    <w:rsid w:val="29C354DF"/>
    <w:rsid w:val="2BD3411A"/>
    <w:rsid w:val="2C1905C4"/>
    <w:rsid w:val="2D36241F"/>
    <w:rsid w:val="338F3EC5"/>
    <w:rsid w:val="372335E9"/>
    <w:rsid w:val="3FDF63B3"/>
    <w:rsid w:val="441976D9"/>
    <w:rsid w:val="4B066F34"/>
    <w:rsid w:val="4F335FB9"/>
    <w:rsid w:val="525E29D0"/>
    <w:rsid w:val="541E2BB9"/>
    <w:rsid w:val="56794170"/>
    <w:rsid w:val="581318CF"/>
    <w:rsid w:val="68E40289"/>
    <w:rsid w:val="72C81813"/>
    <w:rsid w:val="741222D5"/>
    <w:rsid w:val="76010CE2"/>
    <w:rsid w:val="78C3714A"/>
    <w:rsid w:val="7F775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beforeLines="0" w:beforeAutospacing="0" w:after="260" w:afterLines="0" w:afterAutospacing="0" w:line="413" w:lineRule="auto"/>
      <w:outlineLvl w:val="2"/>
    </w:pPr>
    <w:rPr>
      <w:rFonts w:ascii="Times New Roman" w:hAnsi="Times New Roman" w:eastAsia="宋体" w:cs="Times New Roman"/>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1"/>
    <w:basedOn w:val="6"/>
    <w:qFormat/>
    <w:uiPriority w:val="0"/>
    <w:rPr>
      <w:rFonts w:hint="default" w:ascii="仿宋_GB2312" w:eastAsia="仿宋_GB2312" w:cs="仿宋_GB2312"/>
      <w:color w:val="000000"/>
      <w:sz w:val="28"/>
      <w:szCs w:val="28"/>
      <w:u w:val="none"/>
    </w:rPr>
  </w:style>
  <w:style w:type="character" w:customStyle="1" w:styleId="8">
    <w:name w:val="font31"/>
    <w:basedOn w:val="6"/>
    <w:qFormat/>
    <w:uiPriority w:val="0"/>
    <w:rPr>
      <w:rFonts w:hint="eastAsia" w:ascii="微软雅黑" w:hAnsi="微软雅黑" w:eastAsia="微软雅黑" w:cs="微软雅黑"/>
      <w:b/>
      <w:bCs/>
      <w:color w:val="000000"/>
      <w:sz w:val="18"/>
      <w:szCs w:val="18"/>
      <w:u w:val="none"/>
    </w:rPr>
  </w:style>
  <w:style w:type="character" w:customStyle="1" w:styleId="9">
    <w:name w:val="font21"/>
    <w:basedOn w:val="6"/>
    <w:qFormat/>
    <w:uiPriority w:val="0"/>
    <w:rPr>
      <w:rFonts w:hint="eastAsia" w:ascii="微软雅黑" w:hAnsi="微软雅黑" w:eastAsia="微软雅黑" w:cs="微软雅黑"/>
      <w:color w:val="000000"/>
      <w:sz w:val="18"/>
      <w:szCs w:val="18"/>
      <w:u w:val="none"/>
    </w:rPr>
  </w:style>
  <w:style w:type="character" w:customStyle="1" w:styleId="10">
    <w:name w:val="font41"/>
    <w:basedOn w:val="6"/>
    <w:qFormat/>
    <w:uiPriority w:val="0"/>
    <w:rPr>
      <w:rFonts w:hint="eastAsia" w:ascii="微软雅黑" w:hAnsi="微软雅黑" w:eastAsia="微软雅黑" w:cs="微软雅黑"/>
      <w:b/>
      <w:bCs/>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2024-04-25T01:15:00Z</dcterms:created>
  <dc:creator>83106837</dc:creator>
  <cp:lastModifiedBy>liuyt</cp:lastModifiedBy>
  <cp:lastPrinted>2025-07-07T08:37:00Z</cp:lastPrinted>
  <dcterms:modified xsi:type="dcterms:W3CDTF">2026-04-29T09:49:22Z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CCBECF0B09C0489FB6B61AF7BA519CFA</vt:lpwstr>
  </property>
</Properties>
</file>